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F8" w:rsidRDefault="00506AA5" w:rsidP="00187A0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 Respiratory Medication C</w:t>
      </w:r>
      <w:r w:rsidR="004B625A" w:rsidRPr="00892BE5">
        <w:rPr>
          <w:b/>
          <w:sz w:val="28"/>
          <w:szCs w:val="28"/>
        </w:rPr>
        <w:t>onsideratio</w:t>
      </w:r>
      <w:r>
        <w:rPr>
          <w:b/>
          <w:sz w:val="28"/>
          <w:szCs w:val="28"/>
        </w:rPr>
        <w:t>ns</w:t>
      </w:r>
    </w:p>
    <w:p w:rsidR="00187A0B" w:rsidRPr="00187A0B" w:rsidRDefault="00394BEF" w:rsidP="00187A0B">
      <w:pPr>
        <w:spacing w:after="0" w:line="24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C02B05">
        <w:rPr>
          <w:bCs/>
          <w:sz w:val="24"/>
          <w:szCs w:val="24"/>
        </w:rPr>
        <w:t>1</w:t>
      </w:r>
      <w:r w:rsidR="00A62C43">
        <w:rPr>
          <w:bCs/>
          <w:sz w:val="24"/>
          <w:szCs w:val="24"/>
        </w:rPr>
        <w:t>4</w:t>
      </w:r>
      <w:r w:rsidR="00187A0B">
        <w:rPr>
          <w:bCs/>
          <w:sz w:val="24"/>
          <w:szCs w:val="24"/>
        </w:rPr>
        <w:t>, 2020</w:t>
      </w:r>
    </w:p>
    <w:p w:rsidR="008D7CE6" w:rsidRDefault="008D7CE6" w:rsidP="00187A0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326A8" w:rsidRPr="008D7CE6" w:rsidRDefault="008D7CE6" w:rsidP="005326A8">
      <w:pPr>
        <w:spacing w:after="0" w:line="240" w:lineRule="auto"/>
        <w:contextualSpacing/>
      </w:pPr>
      <w:r w:rsidRPr="008D7CE6">
        <w:rPr>
          <w:b/>
        </w:rPr>
        <w:t>Overview</w:t>
      </w:r>
      <w:r>
        <w:t>:</w:t>
      </w:r>
      <w:r w:rsidRPr="008D7CE6">
        <w:t xml:space="preserve"> </w:t>
      </w:r>
      <w:r>
        <w:t xml:space="preserve">As the number of patients with COVID-19 increases, shortages of important medications are starting to be seen.  One of these medications is albuterol metered dose inhalers (MDIs). </w:t>
      </w:r>
      <w:r w:rsidR="005326A8">
        <w:t xml:space="preserve">  Clinical pharmacists, pulmonologists and respiratory therapists have collaborated on recommendations in this document.  As we become aware of more information, additional updates will be provided.</w:t>
      </w:r>
    </w:p>
    <w:p w:rsidR="005326A8" w:rsidRDefault="005326A8" w:rsidP="008D7CE6">
      <w:pPr>
        <w:spacing w:after="0" w:line="240" w:lineRule="auto"/>
        <w:contextualSpacing/>
      </w:pPr>
    </w:p>
    <w:p w:rsidR="00FC4CD5" w:rsidRDefault="00FC4CD5" w:rsidP="00187A0B">
      <w:pPr>
        <w:spacing w:after="0" w:line="240" w:lineRule="auto"/>
      </w:pPr>
      <w:r w:rsidRPr="000A14AB">
        <w:rPr>
          <w:b/>
          <w:u w:val="single"/>
        </w:rPr>
        <w:t xml:space="preserve">Assess COVID-19 patients’ need for </w:t>
      </w:r>
      <w:r w:rsidR="000F53B6">
        <w:rPr>
          <w:b/>
          <w:u w:val="single"/>
        </w:rPr>
        <w:t>short acting beta agonist (SABA)</w:t>
      </w:r>
      <w:r w:rsidRPr="000A14AB">
        <w:rPr>
          <w:b/>
          <w:u w:val="single"/>
        </w:rPr>
        <w:t xml:space="preserve"> </w:t>
      </w:r>
      <w:r w:rsidRPr="00A82B84">
        <w:rPr>
          <w:b/>
          <w:u w:val="single"/>
        </w:rPr>
        <w:t>bronchodilator therapy</w:t>
      </w:r>
      <w:r>
        <w:t>.</w:t>
      </w:r>
    </w:p>
    <w:p w:rsidR="00FC4CD5" w:rsidRDefault="00091EEC" w:rsidP="00187A0B">
      <w:pPr>
        <w:pStyle w:val="ListParagraph"/>
        <w:numPr>
          <w:ilvl w:val="1"/>
          <w:numId w:val="2"/>
        </w:numPr>
        <w:spacing w:after="0" w:line="240" w:lineRule="auto"/>
      </w:pPr>
      <w:r>
        <w:t>Routine use of SABA</w:t>
      </w:r>
      <w:r w:rsidR="00FC4CD5">
        <w:t xml:space="preserve"> bronchodilator therapy</w:t>
      </w:r>
      <w:r w:rsidR="00A82B84">
        <w:t xml:space="preserve"> (e.g., albuterol)</w:t>
      </w:r>
      <w:r w:rsidR="00FC4CD5">
        <w:t xml:space="preserve"> in COVID-19 patients may not be necessary</w:t>
      </w:r>
      <w:r w:rsidR="003722F2">
        <w:t>.</w:t>
      </w:r>
    </w:p>
    <w:p w:rsidR="00A82B84" w:rsidRDefault="00A82B84" w:rsidP="00187A0B">
      <w:pPr>
        <w:pStyle w:val="ListParagraph"/>
        <w:numPr>
          <w:ilvl w:val="1"/>
          <w:numId w:val="2"/>
        </w:numPr>
        <w:spacing w:after="0" w:line="240" w:lineRule="auto"/>
      </w:pPr>
      <w:r>
        <w:t>The American Association of Respiratory Care</w:t>
      </w:r>
      <w:r w:rsidR="00856AA8">
        <w:t xml:space="preserve"> </w:t>
      </w:r>
      <w:hyperlink r:id="rId7" w:history="1">
        <w:r w:rsidR="00856AA8">
          <w:rPr>
            <w:rStyle w:val="Hyperlink"/>
          </w:rPr>
          <w:t>SARS CoV-2 Guidance Document</w:t>
        </w:r>
      </w:hyperlink>
      <w:r w:rsidR="00856AA8">
        <w:t xml:space="preserve"> </w:t>
      </w:r>
      <w:r>
        <w:t xml:space="preserve">states that there is no role for inhaled bronchodilation in patients with COVID-19 unless the patient has co-morbid asthma or COPD. </w:t>
      </w:r>
    </w:p>
    <w:p w:rsidR="00327E51" w:rsidRDefault="00327E51" w:rsidP="00187A0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Because of the national shortage of albuterol MDIs, prior approval may be needed to dispense MDIs. Please use local policy/procedures. </w:t>
      </w:r>
    </w:p>
    <w:p w:rsidR="00091EEC" w:rsidRDefault="00091EEC" w:rsidP="00187A0B">
      <w:pPr>
        <w:spacing w:after="0" w:line="240" w:lineRule="auto"/>
        <w:rPr>
          <w:u w:val="single"/>
        </w:rPr>
      </w:pPr>
    </w:p>
    <w:p w:rsidR="001B21B4" w:rsidRPr="00D97275" w:rsidRDefault="001B21B4" w:rsidP="00187A0B">
      <w:pPr>
        <w:spacing w:after="0" w:line="240" w:lineRule="auto"/>
        <w:rPr>
          <w:b/>
          <w:bCs/>
          <w:u w:val="single"/>
        </w:rPr>
      </w:pPr>
      <w:r w:rsidRPr="00D97275">
        <w:rPr>
          <w:b/>
          <w:bCs/>
          <w:u w:val="single"/>
        </w:rPr>
        <w:t xml:space="preserve">Alternatives to Nebulized Albuterol for </w:t>
      </w:r>
      <w:r w:rsidR="0088795B" w:rsidRPr="00D97275">
        <w:rPr>
          <w:b/>
          <w:bCs/>
          <w:u w:val="single"/>
        </w:rPr>
        <w:t>Suspected/C</w:t>
      </w:r>
      <w:r w:rsidRPr="00D97275">
        <w:rPr>
          <w:b/>
          <w:bCs/>
          <w:u w:val="single"/>
        </w:rPr>
        <w:t>onfirmed COVID-19 Patients:</w:t>
      </w:r>
    </w:p>
    <w:p w:rsidR="002328A5" w:rsidRDefault="002328A5" w:rsidP="00187A0B">
      <w:pPr>
        <w:numPr>
          <w:ilvl w:val="0"/>
          <w:numId w:val="6"/>
        </w:numPr>
        <w:spacing w:after="0" w:line="240" w:lineRule="auto"/>
      </w:pPr>
      <w:r>
        <w:t xml:space="preserve">Please use good stewardship when ordering </w:t>
      </w:r>
      <w:r w:rsidR="006C63A3" w:rsidRPr="006C63A3">
        <w:rPr>
          <w:b/>
        </w:rPr>
        <w:t xml:space="preserve">albuterol </w:t>
      </w:r>
      <w:r w:rsidRPr="006C63A3">
        <w:rPr>
          <w:b/>
        </w:rPr>
        <w:t>MDIs</w:t>
      </w:r>
      <w:r>
        <w:t xml:space="preserve">. Only order for patients with clinical signs of bronchospasm (active wheezing). </w:t>
      </w:r>
      <w:r w:rsidRPr="001B21B4">
        <w:t>Reserve</w:t>
      </w:r>
      <w:r w:rsidR="006C63A3">
        <w:t xml:space="preserve"> </w:t>
      </w:r>
      <w:r w:rsidR="006C63A3" w:rsidRPr="006C63A3">
        <w:rPr>
          <w:b/>
          <w:bCs/>
        </w:rPr>
        <w:t>albuterol</w:t>
      </w:r>
      <w:r w:rsidRPr="006C63A3">
        <w:rPr>
          <w:b/>
          <w:bCs/>
        </w:rPr>
        <w:t xml:space="preserve"> </w:t>
      </w:r>
      <w:r w:rsidRPr="002328A5">
        <w:rPr>
          <w:b/>
        </w:rPr>
        <w:t>MDI</w:t>
      </w:r>
      <w:r w:rsidR="006C63A3">
        <w:rPr>
          <w:b/>
        </w:rPr>
        <w:t>s</w:t>
      </w:r>
      <w:r w:rsidRPr="002328A5">
        <w:rPr>
          <w:b/>
        </w:rPr>
        <w:t xml:space="preserve"> </w:t>
      </w:r>
      <w:r w:rsidRPr="001B21B4">
        <w:t>for patients</w:t>
      </w:r>
      <w:r>
        <w:t xml:space="preserve"> with </w:t>
      </w:r>
      <w:r w:rsidRPr="00DB073F">
        <w:rPr>
          <w:u w:val="single"/>
        </w:rPr>
        <w:t>s</w:t>
      </w:r>
      <w:r w:rsidRPr="002328A5">
        <w:rPr>
          <w:u w:val="single"/>
        </w:rPr>
        <w:t>evere</w:t>
      </w:r>
      <w:r w:rsidRPr="001B21B4">
        <w:t xml:space="preserve"> respiratory distress</w:t>
      </w:r>
      <w:r>
        <w:t>.</w:t>
      </w:r>
    </w:p>
    <w:p w:rsidR="002328A5" w:rsidRDefault="002328A5" w:rsidP="00187A0B">
      <w:pPr>
        <w:numPr>
          <w:ilvl w:val="0"/>
          <w:numId w:val="6"/>
        </w:numPr>
        <w:spacing w:after="0" w:line="240" w:lineRule="auto"/>
      </w:pPr>
      <w:r>
        <w:t xml:space="preserve">Patients should use their home MDI, if possible.  Please use local policy/procedures for home medication use. </w:t>
      </w:r>
    </w:p>
    <w:p w:rsidR="001B21B4" w:rsidRPr="001B21B4" w:rsidRDefault="00F53A42" w:rsidP="00187A0B">
      <w:pPr>
        <w:numPr>
          <w:ilvl w:val="0"/>
          <w:numId w:val="6"/>
        </w:numPr>
        <w:spacing w:after="0" w:line="240" w:lineRule="auto"/>
      </w:pPr>
      <w:r>
        <w:t>In select cases, c</w:t>
      </w:r>
      <w:r w:rsidR="001B21B4" w:rsidRPr="001B21B4">
        <w:t xml:space="preserve">onsider </w:t>
      </w:r>
      <w:r w:rsidR="001B21B4" w:rsidRPr="001B21B4">
        <w:rPr>
          <w:b/>
        </w:rPr>
        <w:t>PO albuterol</w:t>
      </w:r>
      <w:r w:rsidR="001B21B4" w:rsidRPr="001B21B4">
        <w:t xml:space="preserve"> in patients </w:t>
      </w:r>
      <w:r w:rsidR="00815867" w:rsidRPr="002328A5">
        <w:t xml:space="preserve">with </w:t>
      </w:r>
      <w:r w:rsidR="00FC4CD5" w:rsidRPr="00815867">
        <w:t>mild</w:t>
      </w:r>
      <w:r w:rsidR="001B21B4" w:rsidRPr="00815867">
        <w:t xml:space="preserve"> </w:t>
      </w:r>
      <w:r w:rsidR="002328A5" w:rsidRPr="002328A5">
        <w:t>clinical signs of bronchospasm</w:t>
      </w:r>
      <w:r w:rsidR="001B21B4" w:rsidRPr="00815867">
        <w:t>.</w:t>
      </w:r>
      <w:r>
        <w:t xml:space="preserve"> Avoid in patients with a history of arrhythmias. </w:t>
      </w:r>
    </w:p>
    <w:p w:rsidR="001B21B4" w:rsidRDefault="001B21B4" w:rsidP="00187A0B">
      <w:pPr>
        <w:numPr>
          <w:ilvl w:val="0"/>
          <w:numId w:val="6"/>
        </w:numPr>
        <w:spacing w:after="0" w:line="240" w:lineRule="auto"/>
      </w:pPr>
      <w:r w:rsidRPr="001B21B4">
        <w:t xml:space="preserve">Steroids are </w:t>
      </w:r>
      <w:r w:rsidRPr="001B21B4">
        <w:rPr>
          <w:u w:val="single"/>
        </w:rPr>
        <w:t>not</w:t>
      </w:r>
      <w:r w:rsidRPr="001B21B4">
        <w:t xml:space="preserve"> recommended as they prolong viral shedding. However, steroids may be used if needed for</w:t>
      </w:r>
      <w:r w:rsidR="00726C6D">
        <w:t xml:space="preserve"> other comorbid conditions, such as</w:t>
      </w:r>
      <w:r w:rsidRPr="001B21B4">
        <w:t xml:space="preserve"> COPD</w:t>
      </w:r>
      <w:r w:rsidR="00726C6D">
        <w:t>,</w:t>
      </w:r>
      <w:r w:rsidRPr="001B21B4">
        <w:t xml:space="preserve"> </w:t>
      </w:r>
      <w:r w:rsidR="00FC4CD5">
        <w:t>asthma</w:t>
      </w:r>
      <w:r w:rsidR="00726C6D">
        <w:t xml:space="preserve">, adrenal insufficiency, refractory shock, etc. </w:t>
      </w:r>
    </w:p>
    <w:p w:rsidR="001B21B4" w:rsidRDefault="002328A5" w:rsidP="00506098">
      <w:pPr>
        <w:pStyle w:val="ListParagraph"/>
        <w:numPr>
          <w:ilvl w:val="0"/>
          <w:numId w:val="6"/>
        </w:numPr>
        <w:spacing w:after="0" w:line="240" w:lineRule="auto"/>
      </w:pPr>
      <w:r w:rsidRPr="002328A5">
        <w:t xml:space="preserve">Consider subcutaneous terbutaline (0.25 mg) </w:t>
      </w:r>
      <w:r>
        <w:t>if no other treatment options are available</w:t>
      </w:r>
      <w:r w:rsidRPr="002328A5">
        <w:t>.</w:t>
      </w:r>
      <w:r w:rsidR="00F53A42">
        <w:t xml:space="preserve"> Weigh the risks of arrhythmias prior to use.</w:t>
      </w:r>
    </w:p>
    <w:p w:rsidR="002328A5" w:rsidRDefault="002328A5" w:rsidP="002328A5">
      <w:pPr>
        <w:pStyle w:val="ListParagraph"/>
        <w:spacing w:after="0" w:line="240" w:lineRule="auto"/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995"/>
        <w:gridCol w:w="1800"/>
        <w:gridCol w:w="2070"/>
        <w:gridCol w:w="1170"/>
        <w:gridCol w:w="1260"/>
        <w:gridCol w:w="2160"/>
      </w:tblGrid>
      <w:tr w:rsidR="00327E51" w:rsidRPr="001C02B8" w:rsidTr="006C63A3">
        <w:trPr>
          <w:jc w:val="center"/>
        </w:trPr>
        <w:tc>
          <w:tcPr>
            <w:tcW w:w="1165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Drug</w:t>
            </w:r>
          </w:p>
        </w:tc>
        <w:tc>
          <w:tcPr>
            <w:tcW w:w="995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Route</w:t>
            </w:r>
          </w:p>
        </w:tc>
        <w:tc>
          <w:tcPr>
            <w:tcW w:w="1800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Dose</w:t>
            </w:r>
          </w:p>
        </w:tc>
        <w:tc>
          <w:tcPr>
            <w:tcW w:w="2070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Frequency</w:t>
            </w:r>
          </w:p>
        </w:tc>
        <w:tc>
          <w:tcPr>
            <w:tcW w:w="1170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Onset</w:t>
            </w:r>
          </w:p>
        </w:tc>
        <w:tc>
          <w:tcPr>
            <w:tcW w:w="1260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1C02B8">
              <w:rPr>
                <w:b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2160" w:type="dxa"/>
            <w:shd w:val="clear" w:color="auto" w:fill="000000"/>
          </w:tcPr>
          <w:p w:rsidR="00327E51" w:rsidRPr="001C02B8" w:rsidRDefault="00327E51" w:rsidP="00187A0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Adverse Reactions</w:t>
            </w:r>
          </w:p>
        </w:tc>
      </w:tr>
      <w:tr w:rsidR="00EC22C8" w:rsidRPr="001C02B8" w:rsidTr="006C63A3">
        <w:trPr>
          <w:trHeight w:val="485"/>
          <w:jc w:val="center"/>
        </w:trPr>
        <w:tc>
          <w:tcPr>
            <w:tcW w:w="1165" w:type="dxa"/>
            <w:vMerge w:val="restart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albuterol</w:t>
            </w:r>
          </w:p>
        </w:tc>
        <w:tc>
          <w:tcPr>
            <w:tcW w:w="995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Inh</w:t>
            </w:r>
            <w:r>
              <w:rPr>
                <w:sz w:val="20"/>
                <w:szCs w:val="20"/>
              </w:rPr>
              <w:t>aled</w:t>
            </w:r>
          </w:p>
        </w:tc>
        <w:tc>
          <w:tcPr>
            <w:tcW w:w="180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2 puff</w:t>
            </w:r>
          </w:p>
        </w:tc>
        <w:tc>
          <w:tcPr>
            <w:tcW w:w="207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q 20 min until relief, then q 4 - 6 hr PRN</w:t>
            </w:r>
          </w:p>
        </w:tc>
        <w:tc>
          <w:tcPr>
            <w:tcW w:w="117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5 - 10 min</w:t>
            </w:r>
          </w:p>
        </w:tc>
        <w:tc>
          <w:tcPr>
            <w:tcW w:w="126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4 - 6 hr</w:t>
            </w:r>
          </w:p>
        </w:tc>
        <w:tc>
          <w:tcPr>
            <w:tcW w:w="2160" w:type="dxa"/>
            <w:vMerge w:val="restart"/>
          </w:tcPr>
          <w:p w:rsidR="00EC22C8" w:rsidRPr="001C02B8" w:rsidRDefault="00EC22C8" w:rsidP="00D271B5">
            <w:pPr>
              <w:spacing w:after="0" w:line="240" w:lineRule="auto"/>
              <w:rPr>
                <w:sz w:val="20"/>
                <w:szCs w:val="20"/>
              </w:rPr>
            </w:pPr>
            <w:r w:rsidRPr="00EC22C8">
              <w:rPr>
                <w:sz w:val="20"/>
                <w:szCs w:val="20"/>
              </w:rPr>
              <w:t>Use with caution in patients with cardio</w:t>
            </w:r>
            <w:r w:rsidR="00D271B5">
              <w:rPr>
                <w:sz w:val="20"/>
                <w:szCs w:val="20"/>
              </w:rPr>
              <w:t>-</w:t>
            </w:r>
            <w:r w:rsidRPr="00EC22C8">
              <w:rPr>
                <w:sz w:val="20"/>
                <w:szCs w:val="20"/>
              </w:rPr>
              <w:t>vascular disease (arrhythmia or hyper</w:t>
            </w:r>
            <w:r w:rsidR="00D271B5">
              <w:rPr>
                <w:sz w:val="20"/>
                <w:szCs w:val="20"/>
              </w:rPr>
              <w:t>-</w:t>
            </w:r>
            <w:r w:rsidRPr="00EC22C8">
              <w:rPr>
                <w:sz w:val="20"/>
                <w:szCs w:val="20"/>
              </w:rPr>
              <w:t>tension or HF); beta-agonists may cause elevation in blood pressure, heart rate and result in CNS stimulation/excitation. Beta2-agonists may also increase risk of arrhythmias.</w:t>
            </w:r>
          </w:p>
        </w:tc>
      </w:tr>
      <w:tr w:rsidR="00EC22C8" w:rsidRPr="001C02B8" w:rsidTr="006C63A3">
        <w:trPr>
          <w:trHeight w:val="368"/>
          <w:jc w:val="center"/>
        </w:trPr>
        <w:tc>
          <w:tcPr>
            <w:tcW w:w="1165" w:type="dxa"/>
            <w:vMerge/>
            <w:vAlign w:val="center"/>
          </w:tcPr>
          <w:p w:rsidR="00EC22C8" w:rsidRPr="001C02B8" w:rsidRDefault="00EC22C8" w:rsidP="0018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 xml:space="preserve"> (tablet or </w:t>
            </w:r>
            <w:r w:rsidRPr="002274E0">
              <w:rPr>
                <w:sz w:val="20"/>
                <w:szCs w:val="20"/>
              </w:rPr>
              <w:t>syrup)</w:t>
            </w:r>
          </w:p>
        </w:tc>
        <w:tc>
          <w:tcPr>
            <w:tcW w:w="180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4 mg</w:t>
            </w:r>
          </w:p>
        </w:tc>
        <w:tc>
          <w:tcPr>
            <w:tcW w:w="207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 xml:space="preserve">TID - QID </w:t>
            </w:r>
            <w:r w:rsidR="00726C6D">
              <w:rPr>
                <w:sz w:val="20"/>
                <w:szCs w:val="20"/>
              </w:rPr>
              <w:t>PRN</w:t>
            </w:r>
          </w:p>
        </w:tc>
        <w:tc>
          <w:tcPr>
            <w:tcW w:w="117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260" w:type="dxa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6 - 8 hr</w:t>
            </w:r>
          </w:p>
        </w:tc>
        <w:tc>
          <w:tcPr>
            <w:tcW w:w="2160" w:type="dxa"/>
            <w:vMerge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C8" w:rsidRPr="001C02B8" w:rsidTr="006C63A3">
        <w:trPr>
          <w:trHeight w:val="530"/>
          <w:jc w:val="center"/>
        </w:trPr>
        <w:tc>
          <w:tcPr>
            <w:tcW w:w="1165" w:type="dxa"/>
            <w:vMerge w:val="restart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terbutaline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Subcu</w:t>
            </w:r>
            <w:r w:rsidR="006C63A3">
              <w:rPr>
                <w:sz w:val="20"/>
                <w:szCs w:val="20"/>
              </w:rPr>
              <w:t>-</w:t>
            </w:r>
            <w:r w:rsidRPr="001C02B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aneous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0.25 mg</w:t>
            </w:r>
          </w:p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(max 0.75 mg/1 hr)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q 20 min x3 (asthma exacerbation)</w:t>
            </w:r>
          </w:p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q 4 - 6 hr (maintenance)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6 - 15 min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1.5 - 4 hr</w:t>
            </w: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22C8" w:rsidRPr="001C02B8" w:rsidTr="006C63A3">
        <w:trPr>
          <w:trHeight w:val="530"/>
          <w:jc w:val="center"/>
        </w:trPr>
        <w:tc>
          <w:tcPr>
            <w:tcW w:w="1165" w:type="dxa"/>
            <w:vMerge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1C02B8">
              <w:rPr>
                <w:sz w:val="20"/>
                <w:szCs w:val="20"/>
              </w:rPr>
              <w:t>PO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5 mg</w:t>
            </w:r>
          </w:p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(max 15 mg/24 hr)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TID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30 - 45 min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2B8">
              <w:rPr>
                <w:sz w:val="20"/>
                <w:szCs w:val="20"/>
              </w:rPr>
              <w:t>4 - 8 hr</w:t>
            </w:r>
          </w:p>
        </w:tc>
        <w:tc>
          <w:tcPr>
            <w:tcW w:w="2160" w:type="dxa"/>
            <w:vMerge/>
            <w:shd w:val="clear" w:color="auto" w:fill="F2F2F2" w:themeFill="background1" w:themeFillShade="F2"/>
          </w:tcPr>
          <w:p w:rsidR="00EC22C8" w:rsidRPr="001C02B8" w:rsidRDefault="00EC22C8" w:rsidP="00187A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B21B4" w:rsidRDefault="001B21B4" w:rsidP="00187A0B">
      <w:pPr>
        <w:spacing w:after="0" w:line="240" w:lineRule="auto"/>
      </w:pPr>
    </w:p>
    <w:p w:rsidR="001B21B4" w:rsidRDefault="001D132C" w:rsidP="00187A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COVID-19 Patient Recommendations</w:t>
      </w:r>
      <w:r w:rsidR="001B21B4" w:rsidRPr="00892BE5">
        <w:rPr>
          <w:b/>
          <w:u w:val="single"/>
        </w:rPr>
        <w:t>:</w:t>
      </w:r>
    </w:p>
    <w:p w:rsidR="00F903BF" w:rsidRDefault="002274E0" w:rsidP="00F903BF">
      <w:pPr>
        <w:pStyle w:val="ListParagraph"/>
        <w:numPr>
          <w:ilvl w:val="0"/>
          <w:numId w:val="2"/>
        </w:numPr>
        <w:spacing w:after="0" w:line="240" w:lineRule="auto"/>
      </w:pPr>
      <w:r>
        <w:t>Continue use of nebulized therapies in ventilated patients (closed loop)</w:t>
      </w:r>
      <w:r w:rsidR="00F903BF">
        <w:t>.</w:t>
      </w:r>
    </w:p>
    <w:p w:rsidR="00F903BF" w:rsidRDefault="00F903BF" w:rsidP="00F903BF">
      <w:pPr>
        <w:pStyle w:val="ListParagraph"/>
        <w:numPr>
          <w:ilvl w:val="0"/>
          <w:numId w:val="2"/>
        </w:numPr>
        <w:spacing w:after="0" w:line="240" w:lineRule="auto"/>
      </w:pPr>
      <w:r>
        <w:t>If patients are not able to use MDIs, utilize nebulized therapy.  Ensure staff present are utilizing proper PPE</w:t>
      </w:r>
      <w:r w:rsidR="00C51280">
        <w:t xml:space="preserve"> per facility policy</w:t>
      </w:r>
      <w:r>
        <w:t>.</w:t>
      </w:r>
    </w:p>
    <w:p w:rsidR="00C9786E" w:rsidRDefault="00C9786E" w:rsidP="00187A0B">
      <w:pPr>
        <w:pStyle w:val="ListParagraph"/>
        <w:numPr>
          <w:ilvl w:val="0"/>
          <w:numId w:val="2"/>
        </w:numPr>
        <w:spacing w:after="0" w:line="240" w:lineRule="auto"/>
      </w:pPr>
      <w:r>
        <w:t>Design a process to ensure patients’ MDIs are transported with patient upon transfer</w:t>
      </w:r>
      <w:r w:rsidR="003722F2">
        <w:t>.</w:t>
      </w:r>
      <w:r>
        <w:t xml:space="preserve"> </w:t>
      </w:r>
    </w:p>
    <w:p w:rsidR="002274E0" w:rsidRPr="002274E0" w:rsidRDefault="00C9786E" w:rsidP="00187A0B">
      <w:pPr>
        <w:pStyle w:val="ListParagraph"/>
        <w:numPr>
          <w:ilvl w:val="0"/>
          <w:numId w:val="2"/>
        </w:numPr>
        <w:spacing w:after="0" w:line="240" w:lineRule="auto"/>
      </w:pPr>
      <w:r>
        <w:t>Work with local EMS to transport MDIs with patients from the field</w:t>
      </w:r>
      <w:r w:rsidR="003722F2">
        <w:t>.</w:t>
      </w:r>
    </w:p>
    <w:p w:rsidR="00187A0B" w:rsidRDefault="001B21B4" w:rsidP="00187A0B">
      <w:pPr>
        <w:pStyle w:val="ListParagraph"/>
        <w:numPr>
          <w:ilvl w:val="0"/>
          <w:numId w:val="2"/>
        </w:numPr>
        <w:spacing w:after="0" w:line="240" w:lineRule="auto"/>
      </w:pPr>
      <w:r w:rsidRPr="00815867">
        <w:t>Consider use of long acting beta agonists</w:t>
      </w:r>
      <w:r>
        <w:t xml:space="preserve"> (LABA) MDIs in place of </w:t>
      </w:r>
      <w:r w:rsidR="001D132C" w:rsidRPr="001D132C">
        <w:rPr>
          <w:i/>
        </w:rPr>
        <w:t>scheduled</w:t>
      </w:r>
      <w:r w:rsidR="001D132C">
        <w:t xml:space="preserve"> </w:t>
      </w:r>
      <w:r>
        <w:t xml:space="preserve">short </w:t>
      </w:r>
      <w:r w:rsidR="001D132C">
        <w:t xml:space="preserve">acting beta agonists (SABA) as a means to prevent multiple SABA </w:t>
      </w:r>
      <w:r w:rsidR="002274E0">
        <w:t xml:space="preserve">MDI </w:t>
      </w:r>
      <w:r w:rsidR="001D132C">
        <w:t>canister use</w:t>
      </w:r>
      <w:r w:rsidR="003722F2">
        <w:t>.</w:t>
      </w:r>
    </w:p>
    <w:p w:rsidR="00B03D99" w:rsidRPr="00156C2A" w:rsidRDefault="00B03D99" w:rsidP="00B03D99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>
        <w:t xml:space="preserve">If MDIs are unavailable, alternative aerosolization devices with one way valves may be considered to limit exposure.  </w:t>
      </w:r>
      <w:r w:rsidR="00266D14" w:rsidRPr="00156C2A">
        <w:rPr>
          <w:highlight w:val="yellow"/>
        </w:rPr>
        <w:t>Ensure staff are utilizing proper PPE per facility policy.</w:t>
      </w:r>
    </w:p>
    <w:p w:rsidR="00C51280" w:rsidRPr="00156C2A" w:rsidRDefault="00B03D99" w:rsidP="00266D14">
      <w:pPr>
        <w:pStyle w:val="ListParagraph"/>
        <w:numPr>
          <w:ilvl w:val="1"/>
          <w:numId w:val="2"/>
        </w:numPr>
        <w:spacing w:after="0" w:line="240" w:lineRule="auto"/>
        <w:rPr>
          <w:highlight w:val="yellow"/>
        </w:rPr>
      </w:pPr>
      <w:r w:rsidRPr="00156C2A">
        <w:rPr>
          <w:highlight w:val="yellow"/>
        </w:rPr>
        <w:t xml:space="preserve">For example:  </w:t>
      </w:r>
      <w:r w:rsidRPr="00156C2A">
        <w:rPr>
          <w:i/>
          <w:iCs/>
          <w:highlight w:val="yellow"/>
        </w:rPr>
        <w:t>AeroEclipse</w:t>
      </w:r>
      <w:r w:rsidRPr="00156C2A">
        <w:rPr>
          <w:highlight w:val="yellow"/>
        </w:rPr>
        <w:t xml:space="preserve"> Breath Actuated Nebulizer (BAN): requires concentrated albuterol solution (2.5mg/0.5mL)</w:t>
      </w:r>
    </w:p>
    <w:p w:rsidR="00BB4688" w:rsidRDefault="00BB4688" w:rsidP="00187A0B">
      <w:pPr>
        <w:spacing w:after="0" w:line="240" w:lineRule="auto"/>
      </w:pPr>
    </w:p>
    <w:p w:rsidR="00892BE5" w:rsidRPr="00892BE5" w:rsidRDefault="008A1301" w:rsidP="00187A0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Non-</w:t>
      </w:r>
      <w:r w:rsidR="00892BE5" w:rsidRPr="00892BE5">
        <w:rPr>
          <w:b/>
          <w:u w:val="single"/>
        </w:rPr>
        <w:t>COVID-19 Patient Care Action:</w:t>
      </w:r>
    </w:p>
    <w:p w:rsidR="008F5A65" w:rsidRDefault="008F5A65" w:rsidP="00187A0B">
      <w:pPr>
        <w:pStyle w:val="ListParagraph"/>
        <w:numPr>
          <w:ilvl w:val="0"/>
          <w:numId w:val="2"/>
        </w:numPr>
        <w:spacing w:after="0" w:line="240" w:lineRule="auto"/>
      </w:pPr>
      <w:r>
        <w:t>Use nebulized treatment for admitted non-COVID-19 patients</w:t>
      </w:r>
      <w:r w:rsidR="003722F2">
        <w:t>.</w:t>
      </w:r>
    </w:p>
    <w:p w:rsidR="00187A0B" w:rsidRDefault="004B625A" w:rsidP="00187A0B">
      <w:pPr>
        <w:pStyle w:val="ListParagraph"/>
        <w:numPr>
          <w:ilvl w:val="1"/>
          <w:numId w:val="2"/>
        </w:numPr>
        <w:spacing w:after="0" w:line="240" w:lineRule="auto"/>
      </w:pPr>
      <w:r w:rsidRPr="00892BE5">
        <w:rPr>
          <w:u w:val="single"/>
        </w:rPr>
        <w:t>Con</w:t>
      </w:r>
      <w:r w:rsidR="005E13AF">
        <w:rPr>
          <w:u w:val="single"/>
        </w:rPr>
        <w:t>sider conserving</w:t>
      </w:r>
      <w:r w:rsidRPr="00892BE5">
        <w:rPr>
          <w:u w:val="single"/>
        </w:rPr>
        <w:t xml:space="preserve"> </w:t>
      </w:r>
      <w:r w:rsidR="00147201" w:rsidRPr="00892BE5">
        <w:rPr>
          <w:u w:val="single"/>
        </w:rPr>
        <w:t>metered dose inhalers (</w:t>
      </w:r>
      <w:r w:rsidRPr="00892BE5">
        <w:rPr>
          <w:u w:val="single"/>
        </w:rPr>
        <w:t>MDI</w:t>
      </w:r>
      <w:r w:rsidR="00147201" w:rsidRPr="00892BE5">
        <w:rPr>
          <w:u w:val="single"/>
        </w:rPr>
        <w:t>)</w:t>
      </w:r>
      <w:r w:rsidRPr="00892BE5">
        <w:rPr>
          <w:u w:val="single"/>
        </w:rPr>
        <w:t xml:space="preserve"> for COVID-19 patients</w:t>
      </w:r>
      <w:r w:rsidR="007861C3">
        <w:t xml:space="preserve"> due to the generation of aerosols during nebulization, which increases the risk that respiratory droplets will remain in the air and spread the virus</w:t>
      </w:r>
      <w:r w:rsidR="003722F2">
        <w:t>.</w:t>
      </w:r>
    </w:p>
    <w:p w:rsidR="00187A0B" w:rsidRDefault="00187A0B" w:rsidP="00187A0B">
      <w:pPr>
        <w:spacing w:after="0" w:line="240" w:lineRule="auto"/>
      </w:pPr>
    </w:p>
    <w:p w:rsidR="00187A0B" w:rsidRDefault="00F53A42" w:rsidP="00187A0B">
      <w:pPr>
        <w:spacing w:after="0" w:line="240" w:lineRule="auto"/>
      </w:pPr>
      <w:r>
        <w:rPr>
          <w:b/>
          <w:bCs/>
          <w:u w:val="single"/>
        </w:rPr>
        <w:t>Risk to Healthcare Providers</w:t>
      </w:r>
    </w:p>
    <w:p w:rsidR="00BB4688" w:rsidRDefault="000420D3" w:rsidP="00BB46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Administration </w:t>
      </w:r>
      <w:r w:rsidR="005E13AF">
        <w:t>of respiratory medications may cause the patient to cough.</w:t>
      </w:r>
      <w:r>
        <w:t xml:space="preserve"> </w:t>
      </w:r>
      <w:r w:rsidR="00A876FE">
        <w:t>For patients who have been trained on and capable of self-administration,</w:t>
      </w:r>
      <w:r>
        <w:t xml:space="preserve"> </w:t>
      </w:r>
      <w:r w:rsidR="00A876FE">
        <w:t>consider instructing patients to wait to self-administer once all healthcare professionals have left the room.</w:t>
      </w:r>
    </w:p>
    <w:p w:rsidR="00F53A42" w:rsidRPr="00BB4688" w:rsidRDefault="00F53A42" w:rsidP="003B12ED">
      <w:pPr>
        <w:pStyle w:val="ListParagraph"/>
        <w:numPr>
          <w:ilvl w:val="0"/>
          <w:numId w:val="9"/>
        </w:numPr>
        <w:spacing w:after="0" w:line="240" w:lineRule="auto"/>
      </w:pPr>
      <w:r>
        <w:t>A</w:t>
      </w:r>
      <w:r w:rsidRPr="00F53A42">
        <w:t>s prevalence of COVID</w:t>
      </w:r>
      <w:r>
        <w:t>-19</w:t>
      </w:r>
      <w:r w:rsidRPr="00F53A42">
        <w:t xml:space="preserve"> increases, there may be risk to </w:t>
      </w:r>
      <w:r>
        <w:t>healthcare providers</w:t>
      </w:r>
      <w:r w:rsidR="005E13AF">
        <w:t xml:space="preserve"> from</w:t>
      </w:r>
      <w:r w:rsidRPr="00F53A42">
        <w:t xml:space="preserve"> patients not diagnosed with COVID</w:t>
      </w:r>
      <w:r>
        <w:t>-19</w:t>
      </w:r>
      <w:r w:rsidRPr="00F53A42">
        <w:t xml:space="preserve"> or on PUI statu</w:t>
      </w:r>
      <w:r>
        <w:t>s (asymptomatic)</w:t>
      </w:r>
      <w:r w:rsidR="003722F2">
        <w:t>.</w:t>
      </w:r>
      <w:r w:rsidR="00BB4688">
        <w:t xml:space="preserve"> </w:t>
      </w:r>
      <w:r w:rsidR="00BB4688" w:rsidRPr="00BB4688">
        <w:rPr>
          <w:strike/>
        </w:rPr>
        <w:t xml:space="preserve"> </w:t>
      </w:r>
    </w:p>
    <w:p w:rsidR="00BB4688" w:rsidRPr="00F53A42" w:rsidRDefault="00BB4688" w:rsidP="00BB4688">
      <w:pPr>
        <w:pStyle w:val="ListParagraph"/>
        <w:spacing w:after="0" w:line="240" w:lineRule="auto"/>
      </w:pPr>
    </w:p>
    <w:p w:rsidR="00F53A42" w:rsidRPr="008D7CE6" w:rsidRDefault="00F53A42" w:rsidP="00F53A42">
      <w:pPr>
        <w:spacing w:after="0" w:line="240" w:lineRule="auto"/>
        <w:rPr>
          <w:b/>
        </w:rPr>
      </w:pPr>
      <w:r w:rsidRPr="008D7CE6">
        <w:rPr>
          <w:b/>
        </w:rPr>
        <w:t>References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 xml:space="preserve">Rachelefsky GS, Katz RM, Seigel SC. Oral albuterol in the treatment of childhood asthma. </w:t>
      </w:r>
      <w:r w:rsidRPr="00F22037">
        <w:rPr>
          <w:i/>
          <w:sz w:val="21"/>
          <w:szCs w:val="21"/>
        </w:rPr>
        <w:t xml:space="preserve">Pediatrics. </w:t>
      </w:r>
      <w:r w:rsidRPr="00F22037">
        <w:rPr>
          <w:sz w:val="21"/>
          <w:szCs w:val="21"/>
        </w:rPr>
        <w:t>1982</w:t>
      </w:r>
      <w:r w:rsidR="003722F2" w:rsidRPr="00F22037">
        <w:rPr>
          <w:sz w:val="21"/>
          <w:szCs w:val="21"/>
        </w:rPr>
        <w:t>; 69</w:t>
      </w:r>
      <w:r w:rsidRPr="00F22037">
        <w:rPr>
          <w:sz w:val="21"/>
          <w:szCs w:val="21"/>
        </w:rPr>
        <w:t>(4):397-403.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 xml:space="preserve">Courtney AU, McCarter DF, Pollart SM. Childhood asthma: treatment update. </w:t>
      </w:r>
      <w:r w:rsidRPr="00F22037">
        <w:rPr>
          <w:i/>
          <w:sz w:val="21"/>
          <w:szCs w:val="21"/>
        </w:rPr>
        <w:t>Am Fam Physician.</w:t>
      </w:r>
      <w:r w:rsidRPr="00F22037">
        <w:rPr>
          <w:sz w:val="21"/>
          <w:szCs w:val="21"/>
        </w:rPr>
        <w:t xml:space="preserve"> 2005</w:t>
      </w:r>
      <w:r w:rsidR="003722F2" w:rsidRPr="00F22037">
        <w:rPr>
          <w:sz w:val="21"/>
          <w:szCs w:val="21"/>
        </w:rPr>
        <w:t>; 71</w:t>
      </w:r>
      <w:r w:rsidRPr="00F22037">
        <w:rPr>
          <w:sz w:val="21"/>
          <w:szCs w:val="21"/>
        </w:rPr>
        <w:t>(10):1959-68.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 xml:space="preserve">Lee HS. Comparison of oral and aerosol adrenergic bronchodilators in asthma. </w:t>
      </w:r>
      <w:r w:rsidRPr="00F22037">
        <w:rPr>
          <w:i/>
          <w:sz w:val="21"/>
          <w:szCs w:val="21"/>
        </w:rPr>
        <w:t>J Pediatr.</w:t>
      </w:r>
      <w:r w:rsidRPr="00F22037">
        <w:rPr>
          <w:sz w:val="21"/>
          <w:szCs w:val="21"/>
        </w:rPr>
        <w:t xml:space="preserve"> 1981</w:t>
      </w:r>
      <w:r w:rsidR="003722F2" w:rsidRPr="00F22037">
        <w:rPr>
          <w:sz w:val="21"/>
          <w:szCs w:val="21"/>
        </w:rPr>
        <w:t>; 99</w:t>
      </w:r>
      <w:r w:rsidRPr="00F22037">
        <w:rPr>
          <w:sz w:val="21"/>
          <w:szCs w:val="21"/>
        </w:rPr>
        <w:t>(5):805-7.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 xml:space="preserve">Wolfe JD, Yamate M, Biedermann AA, Chu TJ. Comparison of the acute cardiopulmonary effects of oral albuterol, metaproterenol, and terbutaline in asthmatics. </w:t>
      </w:r>
      <w:r w:rsidRPr="00F22037">
        <w:rPr>
          <w:i/>
          <w:sz w:val="21"/>
          <w:szCs w:val="21"/>
        </w:rPr>
        <w:t xml:space="preserve">JAMA. </w:t>
      </w:r>
      <w:r w:rsidRPr="00F22037">
        <w:rPr>
          <w:sz w:val="21"/>
          <w:szCs w:val="21"/>
        </w:rPr>
        <w:t>1985</w:t>
      </w:r>
      <w:r w:rsidR="003722F2" w:rsidRPr="00F22037">
        <w:rPr>
          <w:sz w:val="21"/>
          <w:szCs w:val="21"/>
        </w:rPr>
        <w:t>; 253</w:t>
      </w:r>
      <w:r w:rsidRPr="00F22037">
        <w:rPr>
          <w:sz w:val="21"/>
          <w:szCs w:val="21"/>
        </w:rPr>
        <w:t>(14):2068-72.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 xml:space="preserve">Zehner WJ, Scott JM, Iannolo PM, Ungaro A, Terndrup T. Terbutaline vs albuterol for out-of-hospital respiratory distress: randomized, double-blind trial. </w:t>
      </w:r>
      <w:r w:rsidRPr="00F22037">
        <w:rPr>
          <w:i/>
          <w:sz w:val="21"/>
          <w:szCs w:val="21"/>
        </w:rPr>
        <w:t xml:space="preserve">Acad Emerg Med. </w:t>
      </w:r>
      <w:r w:rsidRPr="00F22037">
        <w:rPr>
          <w:sz w:val="21"/>
          <w:szCs w:val="21"/>
        </w:rPr>
        <w:t>1995</w:t>
      </w:r>
      <w:r w:rsidR="003722F2" w:rsidRPr="00F22037">
        <w:rPr>
          <w:sz w:val="21"/>
          <w:szCs w:val="21"/>
        </w:rPr>
        <w:t>; 2</w:t>
      </w:r>
      <w:r w:rsidRPr="00F22037">
        <w:rPr>
          <w:sz w:val="21"/>
          <w:szCs w:val="21"/>
        </w:rPr>
        <w:t>(8):686-91.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>Albuterol. In: Lexi-Drugs. Hudson, OH: Lexi-Comp, Inc. [Updated March 5, 2020; Accessed March 12, 2020].</w:t>
      </w:r>
    </w:p>
    <w:p w:rsidR="00F53A42" w:rsidRPr="00F22037" w:rsidRDefault="00F53A42" w:rsidP="00F53A42">
      <w:pPr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F22037">
        <w:rPr>
          <w:sz w:val="21"/>
          <w:szCs w:val="21"/>
        </w:rPr>
        <w:t>Terbutaline. In: Lexi-Drugs. Hudson, OH: Lexi-Comp, Inc. [Updated March 4, 2020; Accessed March 12, 2020].</w:t>
      </w:r>
    </w:p>
    <w:p w:rsidR="00F53A42" w:rsidRDefault="00F53A42" w:rsidP="00187A0B">
      <w:pPr>
        <w:spacing w:after="0" w:line="240" w:lineRule="auto"/>
      </w:pPr>
    </w:p>
    <w:p w:rsidR="00BB4688" w:rsidRPr="00F53A42" w:rsidRDefault="00BB4688" w:rsidP="00187A0B">
      <w:pPr>
        <w:spacing w:after="0" w:line="240" w:lineRule="auto"/>
      </w:pPr>
    </w:p>
    <w:p w:rsidR="00506AA5" w:rsidRPr="008D7CE6" w:rsidRDefault="008D7CE6" w:rsidP="00187A0B">
      <w:pPr>
        <w:spacing w:after="0" w:line="240" w:lineRule="auto"/>
        <w:rPr>
          <w:b/>
        </w:rPr>
      </w:pPr>
      <w:r>
        <w:rPr>
          <w:b/>
        </w:rPr>
        <w:t xml:space="preserve">Distributed </w:t>
      </w:r>
      <w:r w:rsidR="00F22037">
        <w:rPr>
          <w:b/>
        </w:rPr>
        <w:t>on behalf of the CommonSpirit Health Pharmacy &amp; Therapeutics Committee</w:t>
      </w:r>
      <w:r>
        <w:rPr>
          <w:b/>
        </w:rPr>
        <w:t>:</w:t>
      </w:r>
    </w:p>
    <w:p w:rsidR="008D7CE6" w:rsidRDefault="008D7CE6" w:rsidP="00F015D1">
      <w:pPr>
        <w:pStyle w:val="ListParagraph"/>
        <w:numPr>
          <w:ilvl w:val="0"/>
          <w:numId w:val="10"/>
        </w:numPr>
        <w:spacing w:after="0" w:line="240" w:lineRule="auto"/>
      </w:pPr>
      <w:r>
        <w:t>Karen McConnell, PharmD, System Director of Clinical Pharmacy Services</w:t>
      </w:r>
      <w:r w:rsidR="00F22037">
        <w:t xml:space="preserve">; </w:t>
      </w:r>
      <w:r>
        <w:t>KarenMcConnell@catholichealth.net</w:t>
      </w:r>
    </w:p>
    <w:p w:rsidR="008D7CE6" w:rsidRDefault="008D7CE6" w:rsidP="00F015D1">
      <w:pPr>
        <w:pStyle w:val="ListParagraph"/>
        <w:numPr>
          <w:ilvl w:val="0"/>
          <w:numId w:val="10"/>
        </w:numPr>
        <w:spacing w:after="0" w:line="240" w:lineRule="auto"/>
      </w:pPr>
      <w:r>
        <w:t>Bruce Bethancourt, MD, CMO Dignity Health Medical Group</w:t>
      </w:r>
      <w:r w:rsidR="00F22037">
        <w:t xml:space="preserve">; </w:t>
      </w:r>
      <w:r>
        <w:t>Bruce.Bethancourt@DignityHealth.org</w:t>
      </w:r>
    </w:p>
    <w:p w:rsidR="00892BE5" w:rsidRPr="00F53A42" w:rsidRDefault="008D7CE6" w:rsidP="00F015D1">
      <w:pPr>
        <w:pStyle w:val="ListParagraph"/>
        <w:numPr>
          <w:ilvl w:val="0"/>
          <w:numId w:val="10"/>
        </w:numPr>
        <w:spacing w:after="0" w:line="240" w:lineRule="auto"/>
      </w:pPr>
      <w:r>
        <w:t>Ben Chaska, MD, System SVP Physician Enterprise Operations Midwest/Fargo Divisions</w:t>
      </w:r>
      <w:r w:rsidR="00F22037">
        <w:t xml:space="preserve">;                     </w:t>
      </w:r>
      <w:r>
        <w:t>BenjaminChaska@catholichealth.net</w:t>
      </w:r>
    </w:p>
    <w:p w:rsidR="00892BE5" w:rsidRDefault="00892BE5" w:rsidP="00187A0B">
      <w:pPr>
        <w:pStyle w:val="ListParagraph"/>
        <w:spacing w:after="0" w:line="240" w:lineRule="auto"/>
        <w:ind w:left="360"/>
      </w:pPr>
    </w:p>
    <w:p w:rsidR="00D572B7" w:rsidRPr="00D572B7" w:rsidRDefault="00892BE5" w:rsidP="00D572B7">
      <w:pPr>
        <w:rPr>
          <w:rFonts w:ascii="Calibri" w:eastAsia="Calibri" w:hAnsi="Calibri" w:cs="Calibri"/>
          <w:b/>
          <w:bCs/>
        </w:rPr>
      </w:pPr>
      <w:r>
        <w:t xml:space="preserve"> </w:t>
      </w:r>
      <w:r w:rsidR="00D572B7" w:rsidRPr="00D572B7">
        <w:rPr>
          <w:rFonts w:ascii="Calibri" w:eastAsia="Calibri" w:hAnsi="Calibri" w:cs="Calibri"/>
          <w:b/>
          <w:bCs/>
          <w:highlight w:val="yellow"/>
        </w:rPr>
        <w:t>Version changes are highlighted</w:t>
      </w:r>
    </w:p>
    <w:p w:rsidR="00892BE5" w:rsidRDefault="00892BE5" w:rsidP="00187A0B">
      <w:pPr>
        <w:spacing w:after="0" w:line="240" w:lineRule="auto"/>
        <w:contextualSpacing/>
      </w:pPr>
    </w:p>
    <w:sectPr w:rsidR="00892BE5" w:rsidSect="00187A0B">
      <w:headerReference w:type="default" r:id="rId8"/>
      <w:footerReference w:type="default" r:id="rId9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2C" w:rsidRDefault="005D172C" w:rsidP="00BE1FDF">
      <w:pPr>
        <w:spacing w:after="0" w:line="240" w:lineRule="auto"/>
      </w:pPr>
      <w:r>
        <w:separator/>
      </w:r>
    </w:p>
  </w:endnote>
  <w:endnote w:type="continuationSeparator" w:id="0">
    <w:p w:rsidR="005D172C" w:rsidRDefault="005D172C" w:rsidP="00B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83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CE6" w:rsidRDefault="008D7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FDF" w:rsidRPr="00187A0B" w:rsidRDefault="00BE1FDF" w:rsidP="009D364D">
    <w:pPr>
      <w:spacing w:line="240" w:lineRule="auto"/>
      <w:ind w:left="7200" w:firstLine="630"/>
      <w:contextualSpacing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2C" w:rsidRDefault="005D172C" w:rsidP="00BE1FDF">
      <w:pPr>
        <w:spacing w:after="0" w:line="240" w:lineRule="auto"/>
      </w:pPr>
      <w:r>
        <w:separator/>
      </w:r>
    </w:p>
  </w:footnote>
  <w:footnote w:type="continuationSeparator" w:id="0">
    <w:p w:rsidR="005D172C" w:rsidRDefault="005D172C" w:rsidP="00BE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DF" w:rsidRDefault="00BE1FDF">
    <w:pPr>
      <w:pStyle w:val="Header"/>
    </w:pPr>
    <w:r w:rsidRPr="009B00B1">
      <w:rPr>
        <w:b/>
        <w:noProof/>
        <w:sz w:val="28"/>
        <w:szCs w:val="28"/>
      </w:rPr>
      <w:drawing>
        <wp:inline distT="0" distB="0" distL="0" distR="0" wp14:anchorId="5F2D75A1" wp14:editId="6E069BC5">
          <wp:extent cx="2037654" cy="4762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99" cy="477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FDF" w:rsidRDefault="00BE1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393"/>
    <w:multiLevelType w:val="hybridMultilevel"/>
    <w:tmpl w:val="614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6E8C"/>
    <w:multiLevelType w:val="hybridMultilevel"/>
    <w:tmpl w:val="5A34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3301"/>
    <w:multiLevelType w:val="hybridMultilevel"/>
    <w:tmpl w:val="F158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155"/>
    <w:multiLevelType w:val="hybridMultilevel"/>
    <w:tmpl w:val="C2E0B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E0516"/>
    <w:multiLevelType w:val="hybridMultilevel"/>
    <w:tmpl w:val="B3B22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74B0"/>
    <w:multiLevelType w:val="hybridMultilevel"/>
    <w:tmpl w:val="EC728C02"/>
    <w:lvl w:ilvl="0" w:tplc="9C0A9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04ABE"/>
    <w:multiLevelType w:val="hybridMultilevel"/>
    <w:tmpl w:val="0F5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8749B"/>
    <w:multiLevelType w:val="multilevel"/>
    <w:tmpl w:val="57BC3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E967BBD"/>
    <w:multiLevelType w:val="multilevel"/>
    <w:tmpl w:val="90EC1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C92D54"/>
    <w:multiLevelType w:val="hybridMultilevel"/>
    <w:tmpl w:val="5004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23679A-81F0-4E7B-B465-BADD7AF5912D}"/>
    <w:docVar w:name="dgnword-eventsink" w:val="508883608"/>
  </w:docVars>
  <w:rsids>
    <w:rsidRoot w:val="004B625A"/>
    <w:rsid w:val="000420D3"/>
    <w:rsid w:val="00091EEC"/>
    <w:rsid w:val="000A14AB"/>
    <w:rsid w:val="000C2951"/>
    <w:rsid w:val="000F40E1"/>
    <w:rsid w:val="000F53B6"/>
    <w:rsid w:val="00120068"/>
    <w:rsid w:val="00147201"/>
    <w:rsid w:val="00156C2A"/>
    <w:rsid w:val="00165F68"/>
    <w:rsid w:val="00166729"/>
    <w:rsid w:val="00187A0B"/>
    <w:rsid w:val="001954C5"/>
    <w:rsid w:val="001B21B4"/>
    <w:rsid w:val="001C02B8"/>
    <w:rsid w:val="001D132C"/>
    <w:rsid w:val="002274E0"/>
    <w:rsid w:val="002328A5"/>
    <w:rsid w:val="00266D14"/>
    <w:rsid w:val="002C3A58"/>
    <w:rsid w:val="002D4512"/>
    <w:rsid w:val="00327E51"/>
    <w:rsid w:val="003368E1"/>
    <w:rsid w:val="003722F2"/>
    <w:rsid w:val="00394BEF"/>
    <w:rsid w:val="0043325B"/>
    <w:rsid w:val="00447C2D"/>
    <w:rsid w:val="004B625A"/>
    <w:rsid w:val="004D47B3"/>
    <w:rsid w:val="00506AA5"/>
    <w:rsid w:val="005154A3"/>
    <w:rsid w:val="005326A8"/>
    <w:rsid w:val="00540D6D"/>
    <w:rsid w:val="00555AE0"/>
    <w:rsid w:val="005742F1"/>
    <w:rsid w:val="005C1F9D"/>
    <w:rsid w:val="005D172C"/>
    <w:rsid w:val="005E13AF"/>
    <w:rsid w:val="00603024"/>
    <w:rsid w:val="006104BA"/>
    <w:rsid w:val="006A46E2"/>
    <w:rsid w:val="006C63A3"/>
    <w:rsid w:val="007126DA"/>
    <w:rsid w:val="00726C6D"/>
    <w:rsid w:val="00734F3D"/>
    <w:rsid w:val="00742C05"/>
    <w:rsid w:val="007604D0"/>
    <w:rsid w:val="007861C3"/>
    <w:rsid w:val="007924FF"/>
    <w:rsid w:val="007D5198"/>
    <w:rsid w:val="007E4B62"/>
    <w:rsid w:val="00815867"/>
    <w:rsid w:val="0082117A"/>
    <w:rsid w:val="00856AA8"/>
    <w:rsid w:val="00876D73"/>
    <w:rsid w:val="0088795B"/>
    <w:rsid w:val="00892BE5"/>
    <w:rsid w:val="00893F70"/>
    <w:rsid w:val="008A1301"/>
    <w:rsid w:val="008B3CA7"/>
    <w:rsid w:val="008C7ECC"/>
    <w:rsid w:val="008D7CE6"/>
    <w:rsid w:val="008F0C1B"/>
    <w:rsid w:val="008F5A65"/>
    <w:rsid w:val="009609AB"/>
    <w:rsid w:val="00966616"/>
    <w:rsid w:val="009D364D"/>
    <w:rsid w:val="00A26C08"/>
    <w:rsid w:val="00A32D40"/>
    <w:rsid w:val="00A62C43"/>
    <w:rsid w:val="00A82B84"/>
    <w:rsid w:val="00A876FE"/>
    <w:rsid w:val="00B03D99"/>
    <w:rsid w:val="00B43098"/>
    <w:rsid w:val="00B65517"/>
    <w:rsid w:val="00BA3977"/>
    <w:rsid w:val="00BB4688"/>
    <w:rsid w:val="00BE1FDF"/>
    <w:rsid w:val="00C02B05"/>
    <w:rsid w:val="00C12DF1"/>
    <w:rsid w:val="00C42CEA"/>
    <w:rsid w:val="00C51280"/>
    <w:rsid w:val="00C606FE"/>
    <w:rsid w:val="00C64494"/>
    <w:rsid w:val="00C80D4B"/>
    <w:rsid w:val="00C9786E"/>
    <w:rsid w:val="00D271B5"/>
    <w:rsid w:val="00D572B7"/>
    <w:rsid w:val="00D97275"/>
    <w:rsid w:val="00D97814"/>
    <w:rsid w:val="00DB073F"/>
    <w:rsid w:val="00E5593B"/>
    <w:rsid w:val="00EB161F"/>
    <w:rsid w:val="00EC22C8"/>
    <w:rsid w:val="00ED1274"/>
    <w:rsid w:val="00F015D1"/>
    <w:rsid w:val="00F22037"/>
    <w:rsid w:val="00F22262"/>
    <w:rsid w:val="00F53A42"/>
    <w:rsid w:val="00F56566"/>
    <w:rsid w:val="00F903BF"/>
    <w:rsid w:val="00FA7E76"/>
    <w:rsid w:val="00FC4CD5"/>
    <w:rsid w:val="00FC6C77"/>
    <w:rsid w:val="00FD49F6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E7C99-B838-488F-89C7-F23B96D3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DF"/>
  </w:style>
  <w:style w:type="paragraph" w:styleId="Footer">
    <w:name w:val="footer"/>
    <w:basedOn w:val="Normal"/>
    <w:link w:val="FooterChar"/>
    <w:uiPriority w:val="99"/>
    <w:unhideWhenUsed/>
    <w:rsid w:val="00BE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DF"/>
  </w:style>
  <w:style w:type="character" w:styleId="CommentReference">
    <w:name w:val="annotation reference"/>
    <w:basedOn w:val="DefaultParagraphFont"/>
    <w:uiPriority w:val="99"/>
    <w:semiHidden/>
    <w:unhideWhenUsed/>
    <w:rsid w:val="0016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5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arc.org/wp-content/uploads/2020/03/guidance-document-SARS-COVID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Janelle - PHX</dc:creator>
  <cp:keywords/>
  <dc:description/>
  <cp:lastModifiedBy>Duran, Janelle - PHX</cp:lastModifiedBy>
  <cp:revision>2</cp:revision>
  <cp:lastPrinted>2020-03-28T00:21:00Z</cp:lastPrinted>
  <dcterms:created xsi:type="dcterms:W3CDTF">2020-04-13T21:58:00Z</dcterms:created>
  <dcterms:modified xsi:type="dcterms:W3CDTF">2020-04-13T21:58:00Z</dcterms:modified>
</cp:coreProperties>
</file>