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54" w:rsidRDefault="008E4C54" w:rsidP="001D08E5">
      <w:pPr>
        <w:spacing w:after="0"/>
        <w:ind w:left="-1440" w:right="586"/>
      </w:pPr>
    </w:p>
    <w:tbl>
      <w:tblPr>
        <w:tblStyle w:val="TableGrid"/>
        <w:tblW w:w="17113" w:type="dxa"/>
        <w:tblInd w:w="-419" w:type="dxa"/>
        <w:tblCellMar>
          <w:top w:w="54" w:type="dxa"/>
          <w:left w:w="36" w:type="dxa"/>
          <w:bottom w:w="9" w:type="dxa"/>
        </w:tblCellMar>
        <w:tblLook w:val="04A0" w:firstRow="1" w:lastRow="0" w:firstColumn="1" w:lastColumn="0" w:noHBand="0" w:noVBand="1"/>
      </w:tblPr>
      <w:tblGrid>
        <w:gridCol w:w="952"/>
        <w:gridCol w:w="1451"/>
        <w:gridCol w:w="578"/>
        <w:gridCol w:w="8684"/>
        <w:gridCol w:w="5448"/>
      </w:tblGrid>
      <w:tr w:rsidR="008E4C54">
        <w:trPr>
          <w:trHeight w:val="1460"/>
        </w:trPr>
        <w:tc>
          <w:tcPr>
            <w:tcW w:w="17113" w:type="dxa"/>
            <w:gridSpan w:val="5"/>
            <w:tcBorders>
              <w:top w:val="single" w:sz="8" w:space="0" w:color="000000"/>
              <w:left w:val="single" w:sz="8" w:space="0" w:color="000000"/>
              <w:bottom w:val="single" w:sz="8" w:space="0" w:color="000000"/>
              <w:right w:val="single" w:sz="8" w:space="0" w:color="000000"/>
            </w:tcBorders>
            <w:shd w:val="clear" w:color="auto" w:fill="D9D9D9"/>
            <w:vAlign w:val="bottom"/>
          </w:tcPr>
          <w:p w:rsidR="008E4C54" w:rsidRDefault="00102B27" w:rsidP="001D08E5">
            <w:r>
              <w:rPr>
                <w:b/>
                <w:u w:val="single" w:color="000000"/>
              </w:rPr>
              <w:t>Organizations must have their Emergency Operations Plan activated to utilize the guidance in this document.</w:t>
            </w:r>
            <w:r>
              <w:rPr>
                <w:b/>
              </w:rPr>
              <w:t xml:space="preserve">  The Joint Commission expects healthcare organizations to comply with all Elements of Performance. In view of the circumstances, The Joint Commission will not cite noncompliance with these Elements of Performance for the period of time during any local, state, or federal declared State of Emergency for COVID‐19. The Joint Commission continues to recommend all healthcare organizations use their independent medical judgment on a case by case basis in the best interest of patient safety.</w:t>
            </w:r>
          </w:p>
        </w:tc>
      </w:tr>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
            </w:pPr>
            <w:r>
              <w:t>The critical access hospital maintains free and unobstructed access to all exits.</w:t>
            </w:r>
          </w:p>
          <w:p w:rsidR="008E4C54" w:rsidRDefault="00102B27" w:rsidP="001D08E5">
            <w:pPr>
              <w:ind w:left="2"/>
            </w:pPr>
            <w:r>
              <w:t>Note: This requirement applies to all buildings classified as business occupancy. The "Life Safety" (LS) chapter addresses the requirements for all other occupancy types.</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581"/>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1</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hanging="1"/>
            </w:pPr>
            <w:r>
              <w:t>The critical access hospital conducts fire drills once per shift per quarter in each building defined as a health care occupancy by the Life Safety Code. The critical access hospital conducts quarterly fire drills in each building defined as an ambulatory health care occupancy by the Life Safety Code. (See also LS.01.02.01, EP 11)</w:t>
            </w:r>
          </w:p>
          <w:p w:rsidR="008E4C54" w:rsidRDefault="00102B27" w:rsidP="001D08E5">
            <w:pPr>
              <w:ind w:left="2"/>
            </w:pPr>
            <w:r>
              <w:t>Note 1: Evacuation of patients during drills is not required.</w:t>
            </w:r>
          </w:p>
          <w:p w:rsidR="008E4C54" w:rsidRDefault="00102B27" w:rsidP="001D08E5">
            <w:pPr>
              <w:spacing w:line="257" w:lineRule="auto"/>
              <w:ind w:left="2"/>
            </w:pPr>
            <w:r>
              <w:t>Note 2: When drills are conducted between 9:00 P.M. and 6:00 A.M., the critical access hospital may use alternative methods to notify staff instead of activating audible alarms.</w:t>
            </w:r>
          </w:p>
          <w:p w:rsidR="008E4C54" w:rsidRDefault="00102B27" w:rsidP="001D08E5">
            <w:pPr>
              <w:ind w:left="2"/>
            </w:pPr>
            <w:r>
              <w:t>Note 3: In leased or rented facilities, drills need be conducted only in areas of the building that the critical access hospital occupies.</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29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1</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At least quarterly, the critical access hospital tests supervisory signal devices on the inventory (except valve tamper switches). The results and completion dates are documented.</w:t>
            </w:r>
          </w:p>
          <w:p w:rsidR="008E4C54" w:rsidRDefault="00102B27" w:rsidP="001D08E5">
            <w:pPr>
              <w:ind w:left="2"/>
            </w:pPr>
            <w:r>
              <w:t>Note 1: For additional guidance on performing tests, see NFPA 72‐2010: Table 14.4.5.</w:t>
            </w:r>
          </w:p>
          <w:p w:rsidR="008E4C54" w:rsidRDefault="00102B27" w:rsidP="001D08E5">
            <w:pPr>
              <w:ind w:left="2"/>
            </w:pPr>
            <w:r>
              <w:t>Note 2: Supervisory signals include the following: control valves; pressure supervisory; pressure tank, pressure supervisory for a dry pipe (both high and low conditions), steam pressure; water level supervisory signal initiating device; water temperature supervisory; and room temperature supervisory.</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51" w:type="dxa"/>
          <w:left w:w="36" w:type="dxa"/>
          <w:right w:w="5"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5"/>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5"/>
            </w:pPr>
            <w:r>
              <w:t>2</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right="14" w:hanging="1"/>
            </w:pPr>
            <w:r>
              <w:t>Every 6 months, the critical access hospital tests vane‐type and pressure‐type water flow devices and valve tamper switches on the inventory. The results and completion dates are documented.</w:t>
            </w:r>
          </w:p>
          <w:p w:rsidR="008E4C54" w:rsidRDefault="00102B27" w:rsidP="001D08E5">
            <w:pPr>
              <w:ind w:left="2"/>
            </w:pPr>
            <w:r>
              <w:t>Note 1: For additional guidance on performing tests, see NFPA 72‐2010: Table 14.4.5.</w:t>
            </w:r>
          </w:p>
          <w:p w:rsidR="008E4C54" w:rsidRDefault="00102B27" w:rsidP="001D08E5">
            <w:pPr>
              <w:ind w:left="2"/>
            </w:pPr>
            <w:r>
              <w:t>Note 2: Mechanical water‐flow devices (including, but not limited to, water motor gongs) should be tested quarterly. The results and completion dates are documented. (For full text, refer to NFPA 25‐2011: Table 5.1.1.2)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3"/>
            </w:pPr>
            <w:r>
              <w:t>3</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12 months, the critical access hospital tests duct detectors, heat detectors, manual fire alarm boxes, and smoke detectors on the inventory. The results and completion dates are documented.</w:t>
            </w:r>
          </w:p>
          <w:p w:rsidR="008E4C54" w:rsidRDefault="00102B27" w:rsidP="001D08E5">
            <w:pPr>
              <w:ind w:left="2"/>
            </w:pPr>
            <w:r>
              <w:t>Note: For additional guidance on performing tests, see NFPA 72‐2010: Table 14.4.5; 17.14.</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3"/>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12 months, the critical access hospital tests visual and audible fire alarms, including speakers and door‐releasing devices on the inventory. The results and completion dates are documented.</w:t>
            </w:r>
          </w:p>
          <w:p w:rsidR="008E4C54" w:rsidRDefault="00102B27" w:rsidP="001D08E5">
            <w:pPr>
              <w:ind w:left="2"/>
            </w:pPr>
            <w:r>
              <w:t>Note: For additional guidance on performing tests, see NFPA 72‐2010: Table 14.4.5.</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3"/>
            </w:pPr>
            <w:r>
              <w:t>5</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12 months, the critical access hospital tests fire alarm equipment on the inventory for notifying off‐site fire responders. The results and completion dates are documented.</w:t>
            </w:r>
          </w:p>
          <w:p w:rsidR="008E4C54" w:rsidRDefault="00102B27" w:rsidP="001D08E5">
            <w:pPr>
              <w:ind w:left="2"/>
            </w:pPr>
            <w:r>
              <w:t>Note: For additional guidance on performing tests, see NFPA 72‐2010: Table 14.4.5.</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4"/>
            </w:pPr>
            <w:r>
              <w:t>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 xml:space="preserve">For automatic sprinkler systems: Every six months, the critical access hospital tests </w:t>
            </w:r>
            <w:r w:rsidR="00722AB5">
              <w:t>water storage</w:t>
            </w:r>
            <w:r>
              <w:t xml:space="preserve"> tank high‐ and low‐water level alarms. The results and completion dates are documented.</w:t>
            </w:r>
          </w:p>
          <w:p w:rsidR="008E4C54" w:rsidRDefault="00102B27" w:rsidP="001D08E5">
            <w:pPr>
              <w:ind w:left="2"/>
            </w:pPr>
            <w:r>
              <w:t>Note: For additional guidance on performing tests, see NFPA 25‐2011: 9.3; Table 9.1.1.2.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4"/>
            </w:pPr>
            <w:r>
              <w:t>9</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For automatic sprinkler systems: Every 12 months, the critical access hospital tests main drains at system low point or at all system risers. The results and completion dates are documented. Note: For additional guidance on performing tests, see NFPA 25‐2011: 13.2.5; 13.3.3.4; Table 13.1.1.2; Table 13.8.1.</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43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10</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For automatic sprinkler systems: Every quarter, the critical access hospital inspects all fire department water supply connections. The results and completion dates are documented.</w:t>
            </w:r>
          </w:p>
          <w:p w:rsidR="008E4C54" w:rsidRDefault="00102B27" w:rsidP="001D08E5">
            <w:pPr>
              <w:ind w:left="2"/>
            </w:pPr>
            <w:r>
              <w:t>Note: For additional guidance on performing tests, see NFPA 25‐2011: 13.7; Table 13.1.1.2.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11</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For automatic sprinkler systems: Every 12 months, the critical access hospital tests fire pumps under flow. The results and completion dates are documented.</w:t>
            </w:r>
          </w:p>
          <w:p w:rsidR="008E4C54" w:rsidRDefault="00102B27" w:rsidP="001D08E5">
            <w:pPr>
              <w:ind w:left="2"/>
            </w:pPr>
            <w:r>
              <w:t>Note: For additional guidance on performing tests, see NFPA 25‐2011: 8.3.3.</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12</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Every 5 years, the critical access hospital conducts hydrostatic and water‐flow tests for standpipe systems. The results and completion dates are documented.</w:t>
            </w:r>
          </w:p>
          <w:p w:rsidR="008E4C54" w:rsidRDefault="00102B27" w:rsidP="001D08E5">
            <w:pPr>
              <w:ind w:left="2"/>
            </w:pPr>
            <w:r>
              <w:t>Note: For additional guidance on performing tests, see NFPA 25‐2011: 6.3.1; 6.3.2; Table 6.1.1.2.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13</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6 months, the critical access hospital inspects any automatic fire‐extinguishing system in a kitchen. The results and completion dates are documented.</w:t>
            </w:r>
          </w:p>
          <w:p w:rsidR="008E4C54" w:rsidRDefault="00102B27" w:rsidP="001D08E5">
            <w:pPr>
              <w:ind w:left="2"/>
            </w:pPr>
            <w:r>
              <w:t>Note 1: Discharge of the fire‐extinguishing systems is not required.</w:t>
            </w:r>
          </w:p>
          <w:p w:rsidR="008E4C54" w:rsidRDefault="00102B27" w:rsidP="001D08E5">
            <w:pPr>
              <w:ind w:left="2"/>
            </w:pPr>
            <w:r>
              <w:t>Note 2: For additional guidance on performing inspections, see NFPA 96‐2011: 11.2.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12 months, the critical access hospital tests carbon dioxide and other gaseous automatic fire‐extinguishing systems. The results and completion dates are documented.</w:t>
            </w:r>
          </w:p>
          <w:p w:rsidR="008E4C54" w:rsidRDefault="00102B27" w:rsidP="001D08E5">
            <w:pPr>
              <w:ind w:left="2"/>
            </w:pPr>
            <w:r>
              <w:t>Note 1: Discharge of the fire‐extinguishing systems is not required.</w:t>
            </w:r>
          </w:p>
          <w:p w:rsidR="008E4C54" w:rsidRDefault="00102B27" w:rsidP="001D08E5">
            <w:pPr>
              <w:ind w:left="2"/>
            </w:pPr>
            <w:r>
              <w:t>Note 2: For full text, refer to NFPA 13‐2010: 4.8.3 and NFPA 12A‐2009: Chapter 6.</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16</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722AB5" w:rsidRDefault="00102B27" w:rsidP="00722AB5">
            <w:pPr>
              <w:ind w:left="2"/>
            </w:pPr>
            <w:r>
              <w:t>Every 12 months, the critical access hospital performs maintenance on portable fire</w:t>
            </w:r>
          </w:p>
          <w:p w:rsidR="008E4C54" w:rsidRDefault="00102B27" w:rsidP="00722AB5">
            <w:pPr>
              <w:ind w:left="2"/>
            </w:pPr>
            <w:r>
              <w:t>extinguishers, including recharging. Individuals performing annual maintenance on extinguishers are certified. The results and completion dates are documented.</w:t>
            </w:r>
          </w:p>
          <w:p w:rsidR="008E4C54" w:rsidRDefault="00102B27" w:rsidP="001D08E5">
            <w:pPr>
              <w:spacing w:line="257" w:lineRule="auto"/>
              <w:ind w:left="2"/>
            </w:pPr>
            <w:r>
              <w:t>Note 1: There are many ways to document the maintenance, such as using bar‐coding equipment, using check marks on a tag, or using an inventory.</w:t>
            </w:r>
          </w:p>
          <w:p w:rsidR="008E4C54" w:rsidRDefault="00102B27" w:rsidP="001D08E5">
            <w:pPr>
              <w:ind w:left="2"/>
            </w:pPr>
            <w:r>
              <w:t>Note 2: For additional guidance on maintaining fire extinguishers, see NFPA 10‐2010: 7.1.2; 7.2.2; 7.2.4; 7.3.1.</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43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5"/>
            </w:pPr>
            <w:r>
              <w:t>17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hanging="2"/>
            </w:pPr>
            <w:r>
              <w:t>The critical access hospital conducts hydrostatic tests on standpipe occupant hoses 5 years after installation and every 3 years thereafter. The results and completion dates are documented. Note: For additional guidance on hydrostatic testing, see NFPA 1962‐2008: Chapter 7 and NFPA 25‐2011: Chapter 6.</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5"/>
            </w:pPr>
            <w:r>
              <w:t>18</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hanging="1"/>
            </w:pPr>
            <w:r>
              <w:t>The critical access hospital operates fire and smoke dampers one year after installation and then at least every six years to verify that they fully close. The results and completion dates are documented.</w:t>
            </w:r>
          </w:p>
          <w:p w:rsidR="008E4C54" w:rsidRDefault="00102B27" w:rsidP="001D08E5">
            <w:pPr>
              <w:ind w:left="2"/>
            </w:pPr>
            <w:r>
              <w:t>Note: For additional guidance on performing tests, see NFPA 90A‐2012: 5.4.8; NFPA 80‐2010: 19.4; NFPA 105‐2010: 6.5.</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19</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pPr>
            <w:r>
              <w:t>Every 12 months, the critical access hospital tests automatic smoke‐detection shutdown devices for air‐handling equipment. The results and completion dates are documented.</w:t>
            </w:r>
          </w:p>
          <w:p w:rsidR="008E4C54" w:rsidRDefault="00102B27" w:rsidP="001D08E5">
            <w:pPr>
              <w:ind w:left="2"/>
            </w:pPr>
            <w:r>
              <w:t>Note: For additional guidance on performing tests, see NFPA 90A‐2012: 6.4.1.</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20</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right="366"/>
            </w:pPr>
            <w:r>
              <w:t>Every 12 months, the critical access hospital tests sliding and rolling fire doors, smoke barrier sliding or rolling doors, and sliding and rolling fire doors in corridor walls and partitions for proper operation and full closure. The results and completion dates are documented. Note: For full text, refer to NFPA 80‐2010: 5.2.14.3; NFPA 105‐2010: 5.2.1; 5.2.2.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w:t>
            </w:r>
            <w:bookmarkStart w:id="0" w:name="_GoBack"/>
            <w:bookmarkEnd w:id="0"/>
            <w:r>
              <w:t>completed, once the PHE has ended.</w:t>
            </w:r>
          </w:p>
        </w:tc>
      </w:tr>
      <w:tr w:rsidR="008E4C54">
        <w:trPr>
          <w:trHeight w:val="344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EC.02.03.05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5"/>
            </w:pPr>
            <w:r>
              <w:t>25</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2"/>
            </w:pPr>
            <w:r>
              <w:t>The critical access hospital has annual inspection and testing of fire door assemblies by individuals who can demonstrate knowledge and understanding of the operating components of the door being tested. Testing begins with a pre‐test visual inspection; testing includes both sides of the opening.</w:t>
            </w:r>
          </w:p>
          <w:p w:rsidR="008E4C54" w:rsidRDefault="00102B27" w:rsidP="001D08E5">
            <w:pPr>
              <w:spacing w:line="257" w:lineRule="auto"/>
              <w:ind w:left="2" w:right="2"/>
            </w:pPr>
            <w:r>
              <w:t>Note 1: Nonrated doors, including corridor doors to patient care rooms and smoke barrier doors, are not subject to the annual inspection and testing requirements of either NFPA 80 or NFPA 105.</w:t>
            </w:r>
          </w:p>
          <w:p w:rsidR="008E4C54" w:rsidRDefault="00102B27" w:rsidP="001D08E5">
            <w:pPr>
              <w:spacing w:line="257" w:lineRule="auto"/>
              <w:ind w:left="2"/>
            </w:pPr>
            <w:r>
              <w:t>Note 2: Nonrated doors should be routinely inspected and maintained in accordance with the facility maintenance program.</w:t>
            </w:r>
          </w:p>
          <w:p w:rsidR="008E4C54" w:rsidRDefault="00102B27" w:rsidP="001D08E5">
            <w:pPr>
              <w:ind w:left="2"/>
            </w:pPr>
            <w:r>
              <w:t>Note 3: For additional guidance on testing of door assemblies, see NFPA 101‐2012: 7.2.1.5.10.1;</w:t>
            </w:r>
          </w:p>
          <w:p w:rsidR="008E4C54" w:rsidRDefault="00102B27" w:rsidP="001D08E5">
            <w:pPr>
              <w:ind w:left="2"/>
            </w:pPr>
            <w:r>
              <w:t>7.2.1.5.11; 7.2.1.15; NFPA 80‐2010: 4.8.4; 5.2.1; 5.2.3; 5.2.4; 5.2.6; 5.2.7; 6.3.1.7; NFPA 1052010: 5.2.1.</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37" w:type="dxa"/>
          <w:left w:w="3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43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3</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hanging="1"/>
            </w:pPr>
            <w:r>
              <w:t>The critical access hospital inspects, tests, and maintains non‐high‐risk equipment identified on the medical equipment inventory. These activities are documented.</w:t>
            </w:r>
          </w:p>
          <w:p w:rsidR="008E4C54" w:rsidRDefault="00102B27" w:rsidP="001D08E5">
            <w:pPr>
              <w:ind w:left="2"/>
            </w:pPr>
            <w:r>
              <w:t>Note: Scheduled maintenance activities for non‐high‐risk medical equipment in an alternative equipment maintenance (AEM) program inventory must have a 100% completion rate. AEM frequency is determined by the hospital’s AEM program.</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3155"/>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2</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The critical access hospital inspects, tests, and maintains all high‐risk equipment. These activities are documented. (See also PC.02.01.09, EP 8; PC.02.01.11, EP 2)</w:t>
            </w:r>
          </w:p>
          <w:p w:rsidR="008E4C54" w:rsidRDefault="00102B27" w:rsidP="001D08E5">
            <w:pPr>
              <w:spacing w:line="257" w:lineRule="auto"/>
              <w:ind w:left="2"/>
            </w:pPr>
            <w:r>
              <w:t>Note 1: High‐risk equipment includes medical equipment for which there is a risk of serious injury or even death to a patient or staff member should it fail, which includes life‐support equipment.</w:t>
            </w:r>
          </w:p>
          <w:p w:rsidR="008E4C54" w:rsidRDefault="00102B27" w:rsidP="001D08E5">
            <w:pPr>
              <w:spacing w:line="257" w:lineRule="auto"/>
              <w:ind w:left="2"/>
            </w:pPr>
            <w:r>
              <w:t>Note 2: Required activities and associated frequencies for maintaining, inspecting, and testing of medical equipment completed in accordance with manufacturers’ recommendations must have a 100% completion rate.</w:t>
            </w:r>
          </w:p>
          <w:p w:rsidR="008E4C54" w:rsidRDefault="00102B27" w:rsidP="001D08E5">
            <w:pPr>
              <w:ind w:left="2"/>
            </w:pPr>
            <w:r>
              <w:t>Note 3: Scheduled maintenance activities for high‐risk medical equipment in an alternative equipment maintenance (AEM) program inventory must have a 100% completion rate. AEM frequency is determined by the critical access hospital's AEM program.</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right="23"/>
            </w:pPr>
            <w:r>
              <w:t xml:space="preserve">While a CMS 1135 waiver has been issued, organizations are expected to evaluate </w:t>
            </w:r>
            <w:r w:rsidR="00722AB5">
              <w:t>the risk</w:t>
            </w:r>
            <w:r>
              <w:t xml:space="preserve"> of NOT conducting inspections, testing, upgrades of high risk medical equipment versus not having this equipment available for patient care.  Organizations will need to evaluate the impact of the pandemic on their operations when making this decision.</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5"/>
            </w:pPr>
            <w:r>
              <w:t>10</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All occupancies containing hyperbaric facilities comply with construction, equipment, administration, and maintenance requirements of NFPA 99‐2012: Chapter 14.</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The critical access hospital conducts performance testing of and maintains all sterilizers. These activities are documented. (See also IC.02.02.01, EP 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right="23"/>
            </w:pPr>
            <w:r>
              <w:t xml:space="preserve">While a CMS 1135 waiver has been issued, organizations are expected to evaluate </w:t>
            </w:r>
            <w:r w:rsidR="00722AB5">
              <w:t>the risk</w:t>
            </w:r>
            <w:r>
              <w:t xml:space="preserve"> of NOT conducting inspections, testing, upgrades of high risk medical equipment versus not having this equipment available for patient care.  Organizations will need to evaluate the impact of the pandemic on their operations when making this decision.</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5"/>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22</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Hospital‐grade receptacles at patient bed locations and where deep sedation or general anesthesia is administered are tested after initial installation, replacement, or servicing. In pediatric locations, receptacles in patient rooms (other than nurseries), bathrooms, play rooms, and activity rooms are listed tamper‐resistant or have a listed cover. Electrical receptacles or cover plates supplied from the life safety and critical branches have a distinctive color or marking. (For full text, refer to NFPA 99‐2012: 6.3.2; 6.3.3; 6.3.4; 6.4.2.2.6; 6.5.2.2.4.2; 6.6.2.2.3.2)</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344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27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Areas designated for administration of general anesthesia (specifically, inhaled anesthetics) using medical gases or vacuum have the following characteristics:</w:t>
            </w:r>
          </w:p>
          <w:p w:rsidR="008E4C54" w:rsidRDefault="00102B27" w:rsidP="001D08E5">
            <w:pPr>
              <w:spacing w:line="257" w:lineRule="auto"/>
              <w:ind w:left="2"/>
            </w:pPr>
            <w:r>
              <w:t>‐ Existing smoke control systems automatically vent smoke, prevent the recirculation of smoke originating within the surgical suite, and prevent the circulation of smoke entering the system intake without interfering with exhaust function. New occupancies have no smoke control requirement.</w:t>
            </w:r>
          </w:p>
          <w:p w:rsidR="008E4C54" w:rsidRDefault="00102B27" w:rsidP="001D08E5">
            <w:pPr>
              <w:spacing w:line="257" w:lineRule="auto"/>
              <w:ind w:left="2"/>
            </w:pPr>
            <w:r>
              <w:t>‐ Existing smoke control systems are maintained according to the edition of NFPA 101 adopted by the Centers for Medicare &amp; Medicaid Services at the time of installation.</w:t>
            </w:r>
          </w:p>
          <w:p w:rsidR="008E4C54" w:rsidRDefault="00102B27" w:rsidP="001D08E5">
            <w:pPr>
              <w:ind w:left="2"/>
            </w:pPr>
            <w:r>
              <w:t>(For full text, refer to NFPA 101‐2012: 18/19.3.2.3; NFPA 99‐2012: 9.3.1)</w:t>
            </w:r>
          </w:p>
          <w:p w:rsidR="008E4C54" w:rsidRDefault="00102B27" w:rsidP="001D08E5">
            <w:pPr>
              <w:ind w:left="2"/>
            </w:pPr>
            <w:r>
              <w:t>Note: Smoke evacuation by smoke control systems refers to by‐products of combustion from a fire; it does not refer to medical plume caused by thermal destruction of tissue, which is addressed in EC.02.02.01, EP 9.</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344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30"/>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The critical access hospital inspects, tests, and maintains the following: High‐risk utility system components on the inventory. The completion date and the results of the activities are documented.</w:t>
            </w:r>
          </w:p>
          <w:p w:rsidR="008E4C54" w:rsidRDefault="00102B27" w:rsidP="001D08E5">
            <w:pPr>
              <w:spacing w:line="257" w:lineRule="auto"/>
              <w:ind w:left="2"/>
            </w:pPr>
            <w:r>
              <w:t>Note 1: A high‐risk utility system includes components for which there is a risk of serious injury or even death to a patient or staff member should it fail, which includes life‐support equipment.  Note 2: Required activities and associated frequencies for maintaining, inspecting, and testing of utility systems components that are completed in accordance with manufacturers’ recommendations must have a 100% completion rate.</w:t>
            </w:r>
          </w:p>
          <w:p w:rsidR="008E4C54" w:rsidRDefault="00102B27" w:rsidP="001D08E5">
            <w:pPr>
              <w:ind w:left="2"/>
            </w:pPr>
            <w:r>
              <w:t>Note 3: Scheduled maintenance activities for high‐risk utility systems components in an alternative equipment maintenance (AEM) program inventory must have a 100% completion rate.</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right="23"/>
            </w:pPr>
            <w:r>
              <w:t xml:space="preserve">While a CMS 1135 waiver has been issued, organizations are expected to evaluate </w:t>
            </w:r>
            <w:r w:rsidR="00722AB5">
              <w:t>the risk</w:t>
            </w:r>
            <w:r>
              <w:t xml:space="preserve"> of NOT conducting inspections, testing, upgrades of high risk medical equipment versus not having this equipment available for patient care.  Organizations will need to evaluate the impact of the pandemic on their operations when making this decision.</w:t>
            </w:r>
          </w:p>
        </w:tc>
      </w:tr>
    </w:tbl>
    <w:p w:rsidR="008E4C54" w:rsidRDefault="008E4C54" w:rsidP="001D08E5">
      <w:pPr>
        <w:spacing w:after="0"/>
        <w:ind w:left="-1440" w:right="586"/>
      </w:pPr>
    </w:p>
    <w:tbl>
      <w:tblPr>
        <w:tblStyle w:val="TableGrid"/>
        <w:tblW w:w="17113" w:type="dxa"/>
        <w:tblInd w:w="-419" w:type="dxa"/>
        <w:tblCellMar>
          <w:top w:w="51" w:type="dxa"/>
          <w:left w:w="36" w:type="dxa"/>
          <w:right w:w="1"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579"/>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9"/>
            </w:pPr>
            <w:r>
              <w:t>5</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hanging="1"/>
            </w:pPr>
            <w:r>
              <w:t>The critical access hospital inspects, tests, and maintains the following: Infection control utility system components on the inventory. The completion date and the results of the activities are documented.</w:t>
            </w:r>
          </w:p>
          <w:p w:rsidR="008E4C54" w:rsidRDefault="00102B27" w:rsidP="001D08E5">
            <w:pPr>
              <w:spacing w:line="257" w:lineRule="auto"/>
              <w:ind w:left="2"/>
            </w:pPr>
            <w:r>
              <w:t>Note 1: Required activities and associated frequencies for maintaining, inspecting, and testing of utility systems components completed in accordance with manufacturers’ recommendations must have a 100% completion rate.</w:t>
            </w:r>
          </w:p>
          <w:p w:rsidR="008E4C54" w:rsidRDefault="00102B27" w:rsidP="001D08E5">
            <w:pPr>
              <w:ind w:left="2"/>
            </w:pPr>
            <w:r>
              <w:t>Note 2: Scheduled maintenance activities for infection control utility systems components in an alternative equipment maintenance (AEM) program inventory must have a 100% completion rate.</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9"/>
            </w:pPr>
            <w:r>
              <w:t>6</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The critical access hospital inspects, tests, and maintains the following: Non‐high‐risk utility system components on the inventory. The completion date and the results of the activities are documented.</w:t>
            </w:r>
          </w:p>
          <w:p w:rsidR="008E4C54" w:rsidRDefault="00102B27" w:rsidP="001D08E5">
            <w:pPr>
              <w:ind w:left="2"/>
            </w:pPr>
            <w:r>
              <w:t>Note: Scheduled maintenance activities for non‐high‐risk utility systems components in an alternative equipment maintenance (AEM) program inventory must have a 100% completion rate. AEM frequency is determined by the critical access hospital AEM program.</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8"/>
            </w:pPr>
            <w:r>
              <w:t>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Line isolation monitors (LIM), if installed, are tested at least monthly by actuating the LIM test switch per NFPA 99‐2012: 6.3.2.6.3.6, which activates both visual and audible alarms. For LIM circuits with automated self‐testing, a manual test is performed at least annually. LIM circuits are tested per NFPA 99‐2012: 6.3.3.3.2 after any repair or renovation to the electric distribution system. Records are maintained of required tests and associated repairs or modifications, containing date, room or area tested, and results. (For full text, refer to NFPA 99‐2012: 6.3.2; 6.3.3; 6.3.4)</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51" w:type="dxa"/>
          <w:left w:w="36" w:type="dxa"/>
          <w:right w:w="19"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5447"/>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EC.02.05.07</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11"/>
            </w:pPr>
            <w:r>
              <w:t>3</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2" w:hanging="1"/>
            </w:pPr>
            <w:r>
              <w:t>The critical access hospital performs a functional test of Level 1 stored emergency power supply systems (SEPSS) on a monthly basis and performs a test of Level 2 SEPSS on a quarterly basis. Test duration is for five minutes or as specified for its class (whichever is less). The critical access hospital performs an annual test at full load for 60% of the full duration of its class. The test results and completion dates are documented.</w:t>
            </w:r>
          </w:p>
          <w:p w:rsidR="008E4C54" w:rsidRDefault="00102B27" w:rsidP="001D08E5">
            <w:pPr>
              <w:spacing w:line="257" w:lineRule="auto"/>
              <w:ind w:left="2"/>
            </w:pPr>
            <w:r>
              <w:t>Note 1: Non–SEPSS battery backup emergency power systems that the critical access hospital has determined to be critical for operations during a power failure (for example, laboratory equipment or electronic medical records) should be properly tested and maintained in accordance with manufacturers' recommendations.</w:t>
            </w:r>
          </w:p>
          <w:p w:rsidR="008E4C54" w:rsidRDefault="00102B27" w:rsidP="001D08E5">
            <w:pPr>
              <w:spacing w:line="257" w:lineRule="auto"/>
              <w:ind w:left="2" w:right="4"/>
            </w:pPr>
            <w:r>
              <w:t>Note 2: Level 1 SEPSS are intended to automatically supply illumination or power to critical areas and equipment essential for safety to human life. Included are systems that supply emergency power for such functions as illumination for safe exiting, ventilation where it is essential to maintain life, fire detection and alarm systems, public safety communications systems, and processes where the current interruption would produce serious life safety or health hazards to patients, the public, or staff.</w:t>
            </w:r>
          </w:p>
          <w:p w:rsidR="008E4C54" w:rsidRDefault="00102B27" w:rsidP="001D08E5">
            <w:pPr>
              <w:spacing w:line="257" w:lineRule="auto"/>
              <w:ind w:left="2"/>
            </w:pPr>
            <w:r>
              <w:t>Note 3: Class defines the minimum time for which the SEPSS is designed to operate at its rated load without being recharged.</w:t>
            </w:r>
          </w:p>
          <w:p w:rsidR="008E4C54" w:rsidRDefault="00102B27" w:rsidP="001D08E5">
            <w:pPr>
              <w:ind w:left="2"/>
            </w:pPr>
            <w:r>
              <w:t>Note 4: For additional guidance on operational inspection and testing, see NFPA 111‐2010: 8.4.</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EC.02.05.07</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11"/>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Every week, the critical access hospital inspects the emergency power supply system (EPSS), including all associated components and batteries. The results and completion dates of the inspections are documented. (For full text, refer to NFPA 110‐2010: 8.3.1; 8.3.3; 8.3.4; 8.4.1)</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EC.02.05.07</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11"/>
            </w:pPr>
            <w:r>
              <w:t>9</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At least once every 36 months, critical access hospitals with a generator providing emergency power test each emergency generator for a minimum of 4 continuous hours. The test results and completion dates are documented.</w:t>
            </w:r>
          </w:p>
          <w:p w:rsidR="008E4C54" w:rsidRDefault="00102B27" w:rsidP="001D08E5">
            <w:pPr>
              <w:ind w:left="2"/>
            </w:pPr>
            <w:r>
              <w:t>Note: For additional guidance, see NFPA 110‐2010, Chapter 8.</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pacing w:after="0"/>
        <w:ind w:left="-1440" w:right="586"/>
      </w:pPr>
    </w:p>
    <w:tbl>
      <w:tblPr>
        <w:tblStyle w:val="TableGrid"/>
        <w:tblW w:w="17113" w:type="dxa"/>
        <w:tblInd w:w="-419" w:type="dxa"/>
        <w:tblCellMar>
          <w:top w:w="51" w:type="dxa"/>
          <w:left w:w="36" w:type="dxa"/>
          <w:right w:w="29"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71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EC.02.05.07</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6"/>
            </w:pPr>
            <w:r>
              <w:t>10</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1"/>
            </w:pPr>
            <w:r>
              <w:t>The 36‐month diesel‐powered emergency generator test uses a dynamic or static load that is at least 30% of the nameplate rating of the generator or meets the manufacturer’s recommended prime movers' exhaust gas temperature.</w:t>
            </w:r>
          </w:p>
          <w:p w:rsidR="008E4C54" w:rsidRDefault="00102B27" w:rsidP="001D08E5">
            <w:pPr>
              <w:ind w:left="2"/>
            </w:pPr>
            <w:r>
              <w:t>Note 1: Tests for non‐diesel‐powered generators need only be conducted with available load.</w:t>
            </w:r>
          </w:p>
          <w:p w:rsidR="008E4C54" w:rsidRDefault="00102B27" w:rsidP="001D08E5">
            <w:pPr>
              <w:ind w:left="2"/>
            </w:pPr>
            <w:r>
              <w:t>Note 2: For additional guidance, see NFPA 110‐2010, Chapter 8.</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229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3"/>
            </w:pPr>
            <w:r>
              <w:t>EC.02.05.09</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right="2"/>
            </w:pPr>
            <w:r>
              <w:t>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In time frames defined by the critical access hospital, the critical access hospital inspects, tests, and maintains critical components of piped medical gas and vacuum systems, waste anesthetic gas disposal (WAGD), and support gas systems on the inventory. This inventory of critical components includes at least all source subsystems, control valves, alarms, manufactured assemblies containing patient gases, and inlets and outlets. Activities, dates, and results are documented. Persons maintaining the systems are qualified by training and certification to the requirements of the American Society of Sanitary Engineers (ASSE) 6030 or 6040. (For full text, refer to NFPA 99‐2012: 5.1.14.2; 5.1.15; 5.2.14; 5.3.13)</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4589"/>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LS</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LS.02.01.20</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145"/>
            </w:pPr>
            <w:r>
              <w:t>14</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spacing w:line="257" w:lineRule="auto"/>
              <w:ind w:left="3" w:hanging="2"/>
            </w:pPr>
            <w:r>
              <w:t>Exits, exit accesses, and exit discharges (means of egress) are clear of obstructions or impediments to the public way, such as clutter (for example, equipment, carts, furniture), construction material, and snow and ice. (For full text, refer to NFPA 101‐2012: 18/19.2.5.1; 7.1.10.1; 7.5.1.1)</w:t>
            </w:r>
          </w:p>
          <w:p w:rsidR="008E4C54" w:rsidRDefault="00102B27" w:rsidP="001D08E5">
            <w:pPr>
              <w:spacing w:line="257" w:lineRule="auto"/>
              <w:ind w:left="2"/>
            </w:pPr>
            <w:r>
              <w:t>Note 1: Wheeled equipment (such as equipment and carts currently in use, equipment used for patient lift and transport, and medical emergency equipment not in use) that maintains at least five feet of clear and unobstructed corridor width is allowed, provided there is a fire plan and training program addressing its relocation in a fire or similar emergency. (For full text, refer to NFPA 101‐2012: 18/19.2.3.4 (4))</w:t>
            </w:r>
          </w:p>
          <w:p w:rsidR="008E4C54" w:rsidRDefault="00102B27" w:rsidP="001D08E5">
            <w:pPr>
              <w:ind w:left="2"/>
            </w:pPr>
            <w:r>
              <w:t>Note 2: Where the corridor width is at least eight feet and the smoke compartment is fully protected by an electrically supervised smoke detection system or is in direct supervision of facility staff, furniture that is securely attached is allowed provided it does not reduce the corridor width to less than six feet, is only on one side of the corridor, does not exceed 50 square feet, is in groupings spaced at least 10 feet apart, and does not restrict access to building service and fire protection equipment. (For full text, refer to NFPA 101‐2012: 18/19.2.3.4 (5))</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8E4C54" w:rsidP="001D08E5">
      <w:pPr>
        <w:sectPr w:rsidR="008E4C54">
          <w:headerReference w:type="even" r:id="rId7"/>
          <w:headerReference w:type="default" r:id="rId8"/>
          <w:footerReference w:type="even" r:id="rId9"/>
          <w:footerReference w:type="default" r:id="rId10"/>
          <w:headerReference w:type="first" r:id="rId11"/>
          <w:footerReference w:type="first" r:id="rId12"/>
          <w:pgSz w:w="20160" w:h="12240" w:orient="landscape"/>
          <w:pgMar w:top="1093" w:right="1440" w:bottom="1398" w:left="1440" w:header="497" w:footer="469" w:gutter="0"/>
          <w:cols w:space="720"/>
        </w:sectPr>
      </w:pPr>
    </w:p>
    <w:p w:rsidR="008E4C54" w:rsidRDefault="008E4C54" w:rsidP="001D08E5">
      <w:pPr>
        <w:spacing w:after="0"/>
        <w:ind w:left="-1440" w:right="586"/>
      </w:pPr>
    </w:p>
    <w:tbl>
      <w:tblPr>
        <w:tblStyle w:val="TableGrid"/>
        <w:tblW w:w="17113" w:type="dxa"/>
        <w:tblInd w:w="-419" w:type="dxa"/>
        <w:tblCellMar>
          <w:top w:w="51" w:type="dxa"/>
          <w:left w:w="36" w:type="dxa"/>
          <w:right w:w="10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43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LS</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LS.02.01.70</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76"/>
            </w:pPr>
            <w:r>
              <w:t>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When installed, new engineered smoke control systems are tested in accordance with NFPA 922012, Standard for Smoke Control Systems. Existing engineered smoke control systems are tested in accordance with established engineering principles. (For full text, refer to NFPA 1012012: 18/19.7.7)</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r w:rsidR="008E4C54">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r>
              <w:t>LS</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LS.03.01.70</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75"/>
            </w:pPr>
            <w:r>
              <w:t>7</w:t>
            </w:r>
          </w:p>
        </w:tc>
        <w:tc>
          <w:tcPr>
            <w:tcW w:w="8684"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hanging="1"/>
            </w:pPr>
            <w:r>
              <w:t>When installed, new engineered smoke control systems are tested in accordance with NFPA 922012, Standard for Smoke Control Systems. Existing engineered smoke control systems are tested in accordance with established engineering principles. (For full text, refer to NFPA 1012012: 20/21.7.7)</w:t>
            </w:r>
          </w:p>
        </w:tc>
        <w:tc>
          <w:tcPr>
            <w:tcW w:w="5448" w:type="dxa"/>
            <w:tcBorders>
              <w:top w:val="single" w:sz="8" w:space="0" w:color="000000"/>
              <w:left w:val="single" w:sz="8" w:space="0" w:color="000000"/>
              <w:bottom w:val="single" w:sz="8" w:space="0" w:color="000000"/>
              <w:right w:val="single" w:sz="8" w:space="0" w:color="000000"/>
            </w:tcBorders>
            <w:shd w:val="clear" w:color="auto" w:fill="FFFF00"/>
          </w:tcPr>
          <w:p w:rsidR="008E4C54" w:rsidRDefault="00102B27" w:rsidP="001D08E5">
            <w:pPr>
              <w:ind w:left="2"/>
            </w:pPr>
            <w:r>
              <w:t>If elements were due during State of Emergency</w:t>
            </w:r>
            <w:r w:rsidR="00722AB5">
              <w:t>, the</w:t>
            </w:r>
            <w:r>
              <w:t xml:space="preserve"> completion time has been extended during the PHE.  The Joint Commission is working with CMS to determine when these test should be completed, once the PHE has ended.</w:t>
            </w:r>
          </w:p>
        </w:tc>
      </w:tr>
    </w:tbl>
    <w:p w:rsidR="008E4C54" w:rsidRDefault="00102B27" w:rsidP="001D08E5">
      <w:r>
        <w:br w:type="page"/>
      </w:r>
    </w:p>
    <w:p w:rsidR="008E4C54" w:rsidRDefault="008E4C54" w:rsidP="001D08E5">
      <w:pPr>
        <w:spacing w:after="0"/>
        <w:ind w:left="-1440" w:right="586"/>
      </w:pPr>
    </w:p>
    <w:tbl>
      <w:tblPr>
        <w:tblStyle w:val="TableGrid"/>
        <w:tblW w:w="17113" w:type="dxa"/>
        <w:tblInd w:w="-419" w:type="dxa"/>
        <w:tblCellMar>
          <w:top w:w="51" w:type="dxa"/>
          <w:left w:w="36" w:type="dxa"/>
          <w:right w:w="2"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7741"/>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3"/>
            </w:pPr>
            <w:r>
              <w:t>EC.02.04.01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right="28"/>
            </w:pPr>
            <w:r>
              <w:t>4</w:t>
            </w:r>
          </w:p>
        </w:tc>
        <w:tc>
          <w:tcPr>
            <w:tcW w:w="8684"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spacing w:line="257" w:lineRule="auto"/>
              <w:ind w:left="2" w:hanging="1"/>
            </w:pPr>
            <w:r>
              <w:t>The critical access hospital identifies the activities and associated frequencies, in writing, for maintaining, inspecting, and testing all medical equipment on the inventory. These activities and associated frequencies are in accordance with manufacturers’ recommendations or with strategies of an alternative equipment maintenance (AEM) program.</w:t>
            </w:r>
          </w:p>
          <w:p w:rsidR="008E4C54" w:rsidRDefault="00102B27" w:rsidP="001D08E5">
            <w:pPr>
              <w:spacing w:line="257" w:lineRule="auto"/>
              <w:ind w:left="2" w:right="13"/>
            </w:pPr>
            <w:r>
              <w:t>Note 1: The strategies of an AEM program must not reduce the safety of equipment and must be based on accepted standards of practice, such as the American National Standards</w:t>
            </w:r>
          </w:p>
          <w:p w:rsidR="008E4C54" w:rsidRDefault="00102B27" w:rsidP="001D08E5">
            <w:pPr>
              <w:ind w:left="2"/>
            </w:pPr>
            <w:r>
              <w:t>Institute/Association for the Advancement of Medical Instrumentation handbook ANSI/AAMI</w:t>
            </w:r>
          </w:p>
          <w:p w:rsidR="008E4C54" w:rsidRDefault="00102B27" w:rsidP="001D08E5">
            <w:pPr>
              <w:spacing w:line="257" w:lineRule="auto"/>
              <w:ind w:left="2" w:right="534"/>
            </w:pPr>
            <w:r>
              <w:t>EQ56: 2013, Recommended Practice for a Medical Equipment Management Program. Note 2: Medical equipment with activities and associated frequencies in accordance with manufacturers’ recommendations must have a 100% completion rate.</w:t>
            </w:r>
          </w:p>
          <w:p w:rsidR="008E4C54" w:rsidRDefault="00102B27" w:rsidP="001D08E5">
            <w:pPr>
              <w:ind w:left="2"/>
            </w:pPr>
            <w:r>
              <w:t>Note 3: Scheduled maintenance activities for both high‐risk and non‐high‐risk medical equipment in an alternative equipment maintenance (AEM) program inventory must have a 100% completion rate. AEM frequency is determined by the critical access hospital's AEM program.</w:t>
            </w:r>
          </w:p>
        </w:tc>
        <w:tc>
          <w:tcPr>
            <w:tcW w:w="544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spacing w:after="21" w:line="257" w:lineRule="auto"/>
              <w:ind w:left="2" w:right="15"/>
            </w:pPr>
            <w:r>
              <w:t>USP released guidance which allows for the following extending the testing and certification frequency during the COVID‐19 Pandemic.  Organizations may utilize these guidelines and remain in compliance with Joint Commission standards until the state of emergency has been lifted at the regional, state or national level for the organization.  Testing and Certification must be completed within 60 days of the end of the declared state of emergency at the regional, state or national level (whichever gives organizations the longest time to complete)</w:t>
            </w:r>
          </w:p>
          <w:p w:rsidR="008E4C54" w:rsidRDefault="00102B27" w:rsidP="001D08E5">
            <w:pPr>
              <w:spacing w:after="1" w:line="256" w:lineRule="auto"/>
              <w:ind w:left="2"/>
            </w:pPr>
            <w:r>
              <w:t>•Primary and secondary engineering controls should not be used without initial (i.e., startup) certification.</w:t>
            </w:r>
          </w:p>
          <w:p w:rsidR="008E4C54" w:rsidRDefault="00102B27" w:rsidP="001D08E5">
            <w:pPr>
              <w:spacing w:after="1" w:line="257" w:lineRule="auto"/>
              <w:ind w:left="2" w:right="11"/>
            </w:pPr>
            <w:r>
              <w:t>•Understanding resource constraints during the COVID‐19</w:t>
            </w:r>
            <w:r>
              <w:rPr>
                <w:rFonts w:ascii="Microsoft Sans Serif" w:eastAsia="Microsoft Sans Serif" w:hAnsi="Microsoft Sans Serif" w:cs="Microsoft Sans Serif"/>
                <w:sz w:val="23"/>
              </w:rPr>
              <w:t xml:space="preserve"> </w:t>
            </w:r>
            <w:r>
              <w:t>pandemic, facilities may consider delaying recertification of primary and secondary engineering controls ONLY if they are served by a continuous monitor for pressure differentials. The continuous monitor may help assure that a state of control is established and maintained from the previous certification.</w:t>
            </w:r>
          </w:p>
          <w:p w:rsidR="00722AB5" w:rsidRDefault="00102B27" w:rsidP="00722AB5">
            <w:pPr>
              <w:pStyle w:val="ListParagraph"/>
              <w:numPr>
                <w:ilvl w:val="0"/>
                <w:numId w:val="1"/>
              </w:numPr>
              <w:spacing w:after="21" w:line="256" w:lineRule="auto"/>
            </w:pPr>
            <w:r>
              <w:t>The interval between cer</w:t>
            </w:r>
            <w:r w:rsidR="00722AB5">
              <w:t>ti</w:t>
            </w:r>
            <w:r>
              <w:t>fica</w:t>
            </w:r>
            <w:r w:rsidR="00722AB5">
              <w:t>tion shall not exceed 12</w:t>
            </w:r>
            <w:r>
              <w:t>months.</w:t>
            </w:r>
          </w:p>
          <w:p w:rsidR="008E4C54" w:rsidRDefault="00102B27" w:rsidP="00722AB5">
            <w:pPr>
              <w:pStyle w:val="ListParagraph"/>
              <w:numPr>
                <w:ilvl w:val="0"/>
                <w:numId w:val="1"/>
              </w:numPr>
              <w:spacing w:after="21" w:line="256" w:lineRule="auto"/>
            </w:pPr>
            <w:r>
              <w:t>Based upon a risk assessment, organiza</w:t>
            </w:r>
            <w:r w:rsidR="00722AB5">
              <w:t>ti</w:t>
            </w:r>
            <w:r>
              <w:t>ons should consider increased environmental monitoring and applying shorter beyond‐use dates (BUDs) if certification is delayed.</w:t>
            </w:r>
          </w:p>
        </w:tc>
      </w:tr>
    </w:tbl>
    <w:p w:rsidR="008E4C54" w:rsidRDefault="008E4C54" w:rsidP="001D08E5">
      <w:pPr>
        <w:spacing w:after="0"/>
        <w:ind w:left="-1440" w:right="586"/>
      </w:pPr>
    </w:p>
    <w:tbl>
      <w:tblPr>
        <w:tblStyle w:val="TableGrid"/>
        <w:tblW w:w="17113" w:type="dxa"/>
        <w:tblInd w:w="-419" w:type="dxa"/>
        <w:tblCellMar>
          <w:top w:w="51" w:type="dxa"/>
          <w:left w:w="36" w:type="dxa"/>
          <w:right w:w="4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573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20</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hanging="1"/>
            </w:pPr>
            <w:r>
              <w:t>For diagnostic computed tomography (CT) services: At least annually, a diagnostic medical physicist does the following:</w:t>
            </w:r>
          </w:p>
          <w:p w:rsidR="008E4C54" w:rsidRDefault="00102B27" w:rsidP="001D08E5">
            <w:pPr>
              <w:spacing w:line="257" w:lineRule="auto"/>
              <w:ind w:left="2"/>
            </w:pPr>
            <w:r>
              <w:t>‐ Measures the radiation dose (in the form of volume computed tomography dose index [CTDIvol]) produced by each diagnostic CT imaging system for the following four CT protocols: adult brain, adult abdomen, pediatric brain, and pediatric abdomen. If one or more of these protocols is not used by the critical access hospital, other commonly used CT protocols may be substituted.</w:t>
            </w:r>
          </w:p>
          <w:p w:rsidR="008E4C54" w:rsidRDefault="00102B27" w:rsidP="001D08E5">
            <w:pPr>
              <w:spacing w:line="257" w:lineRule="auto"/>
              <w:ind w:left="2"/>
            </w:pPr>
            <w:r>
              <w:t>‐ Verifies that the radiation dose (in the form of CTDIvol) produced and measured for each protocol tested is within 20 percent of the CTDIvol displayed on the CT console. The dates, results, and verifications of these measurements are documented.</w:t>
            </w:r>
          </w:p>
          <w:p w:rsidR="008E4C54" w:rsidRDefault="00102B27" w:rsidP="001D08E5">
            <w:pPr>
              <w:spacing w:line="257" w:lineRule="auto"/>
              <w:ind w:left="2"/>
            </w:pPr>
            <w:r>
              <w:t>Note 1: This element of performance is only applicable for systems capable of calculating and displaying radiation doses.</w:t>
            </w:r>
          </w:p>
          <w:p w:rsidR="008E4C54" w:rsidRDefault="00102B27" w:rsidP="001D08E5">
            <w:pPr>
              <w:spacing w:line="257" w:lineRule="auto"/>
              <w:ind w:left="2"/>
            </w:pPr>
            <w:r>
              <w:t>Note 2: This element of performance does not apply to dental cone beam CT radiographic imaging studies performed for diagnosis of conditions affecting the maxillofacial region or to obtain guidance for the treatment of such conditions.</w:t>
            </w:r>
          </w:p>
          <w:p w:rsidR="008E4C54" w:rsidRDefault="00102B27" w:rsidP="001D08E5">
            <w:pPr>
              <w:spacing w:line="257" w:lineRule="auto"/>
              <w:ind w:left="2"/>
            </w:pPr>
            <w:r>
              <w:t>Note 3: Medical physicists are accountable for these activities. They may be assisted with the testing and evaluation of equipment performance by individuals who have the required training and skills, as determined by the physicist. (For more information, refer to HR.01.02.01, EP 1;</w:t>
            </w:r>
          </w:p>
          <w:p w:rsidR="008E4C54" w:rsidRDefault="00102B27" w:rsidP="001D08E5">
            <w:pPr>
              <w:ind w:left="2"/>
            </w:pPr>
            <w:r>
              <w:t>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 xml:space="preserve">equipment and acquisition monitors for these modalities. </w:t>
            </w:r>
            <w:r w:rsidR="00722AB5">
              <w:t>Organizations have</w:t>
            </w:r>
            <w:r>
              <w:t xml:space="preserve"> 60 days after the end of the state of emergency (national, federal, or local level depending upon which allows the most time to address), to complete these items.</w:t>
            </w:r>
          </w:p>
        </w:tc>
      </w:tr>
    </w:tbl>
    <w:p w:rsidR="008E4C54" w:rsidRDefault="008E4C54" w:rsidP="001D08E5">
      <w:pPr>
        <w:spacing w:after="0"/>
        <w:ind w:left="-1440" w:right="586"/>
      </w:pPr>
    </w:p>
    <w:tbl>
      <w:tblPr>
        <w:tblStyle w:val="TableGrid"/>
        <w:tblW w:w="17113" w:type="dxa"/>
        <w:tblInd w:w="-419" w:type="dxa"/>
        <w:tblCellMar>
          <w:top w:w="51" w:type="dxa"/>
          <w:left w:w="36" w:type="dxa"/>
          <w:right w:w="4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right="211" w:hanging="1"/>
            </w:pPr>
            <w:r>
              <w:t>For diagnostic computed tomography (CT) services: At least annually, a diagnostic medical physicist conducts a performance evaluation of all CT imaging equipment. The evaluation results, along with recommendations for correcting any problems identified, are documented. The evaluation includes the use of phantoms to assess the following imaging metrics: ‐ Image uniformity</w:t>
            </w:r>
          </w:p>
          <w:p w:rsidR="008E4C54" w:rsidRDefault="00102B27" w:rsidP="001D08E5">
            <w:pPr>
              <w:ind w:left="2"/>
            </w:pPr>
            <w:r>
              <w:t>‐ Scout prescription accuracy</w:t>
            </w:r>
          </w:p>
          <w:p w:rsidR="008E4C54" w:rsidRDefault="00102B27" w:rsidP="001D08E5">
            <w:pPr>
              <w:ind w:left="2"/>
            </w:pPr>
            <w:r>
              <w:t>‐ Alignment light accuracy</w:t>
            </w:r>
          </w:p>
          <w:p w:rsidR="008E4C54" w:rsidRDefault="00102B27" w:rsidP="001D08E5">
            <w:pPr>
              <w:ind w:left="2"/>
            </w:pPr>
            <w:r>
              <w:t>‐ Table travel accuracy</w:t>
            </w:r>
          </w:p>
          <w:p w:rsidR="008E4C54" w:rsidRDefault="00102B27" w:rsidP="001D08E5">
            <w:pPr>
              <w:ind w:left="2"/>
            </w:pPr>
            <w:r>
              <w:t>‐ Radiation beam width</w:t>
            </w:r>
          </w:p>
          <w:p w:rsidR="008E4C54" w:rsidRDefault="00102B27" w:rsidP="001D08E5">
            <w:pPr>
              <w:ind w:left="2"/>
            </w:pPr>
            <w:r>
              <w:t>‐ High‐contrast resolution</w:t>
            </w:r>
          </w:p>
          <w:p w:rsidR="008E4C54" w:rsidRDefault="00102B27" w:rsidP="001D08E5">
            <w:pPr>
              <w:ind w:left="2"/>
            </w:pPr>
            <w:r>
              <w:t>‐ Low‐contrast detectability</w:t>
            </w:r>
          </w:p>
          <w:p w:rsidR="008E4C54" w:rsidRDefault="00102B27" w:rsidP="001D08E5">
            <w:pPr>
              <w:ind w:left="2"/>
            </w:pPr>
            <w:r>
              <w:t>‐ Geometric or distance accuracy</w:t>
            </w:r>
          </w:p>
          <w:p w:rsidR="008E4C54" w:rsidRDefault="00102B27" w:rsidP="001D08E5">
            <w:pPr>
              <w:ind w:left="2"/>
            </w:pPr>
            <w:r>
              <w:t>‐ CT number accuracy and uniformity</w:t>
            </w:r>
          </w:p>
          <w:p w:rsidR="008E4C54" w:rsidRDefault="00102B27" w:rsidP="001D08E5">
            <w:pPr>
              <w:ind w:left="2"/>
            </w:pPr>
            <w:r>
              <w:t>‐ Artifact evaluation</w:t>
            </w:r>
          </w:p>
          <w:p w:rsidR="008E4C54" w:rsidRDefault="00102B27" w:rsidP="001D08E5">
            <w:pPr>
              <w:spacing w:line="257" w:lineRule="auto"/>
              <w:ind w:left="2"/>
            </w:pPr>
            <w:r>
              <w:t>Note 1: This element of performance does not apply to dental cone beam CT radiographic imaging studies performed for diagnosis of conditions affecting the maxillofacial region or to obtain guidance for the treatment of such conditions.</w:t>
            </w:r>
          </w:p>
          <w:p w:rsidR="008E4C54" w:rsidRDefault="00102B27" w:rsidP="001D08E5">
            <w:pPr>
              <w:spacing w:line="257" w:lineRule="auto"/>
              <w:ind w:left="2"/>
            </w:pPr>
            <w:r>
              <w:t>Note 2: Medical physicists are accountable for these activities. They may be assisted with the testing and evaluation of equipment performance by individuals who have the required training and skills, as determined by the physicist. (For more information, refer to HR.01.02.01, EP 1;</w:t>
            </w:r>
          </w:p>
          <w:p w:rsidR="008E4C54" w:rsidRDefault="00102B27" w:rsidP="001D08E5">
            <w:pPr>
              <w:ind w:left="2"/>
            </w:pPr>
            <w:r>
              <w:t>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 xml:space="preserve">equipment and acquisition monitors for these modalities.  </w:t>
            </w:r>
            <w:r w:rsidR="00722AB5">
              <w:t>Organizations have</w:t>
            </w:r>
            <w:r>
              <w:t xml:space="preserve"> 60 days after the end of the state of emergency (national, federal, or local level depending upon which allows the most time to address), to complete these items.</w:t>
            </w:r>
          </w:p>
        </w:tc>
      </w:tr>
    </w:tbl>
    <w:p w:rsidR="008E4C54" w:rsidRDefault="008E4C54" w:rsidP="001D08E5">
      <w:pPr>
        <w:spacing w:after="0"/>
        <w:ind w:left="-1440" w:right="586"/>
      </w:pPr>
    </w:p>
    <w:tbl>
      <w:tblPr>
        <w:tblStyle w:val="TableGrid"/>
        <w:tblW w:w="17113" w:type="dxa"/>
        <w:tblInd w:w="-419" w:type="dxa"/>
        <w:tblCellMar>
          <w:top w:w="51" w:type="dxa"/>
          <w:left w:w="36" w:type="dxa"/>
          <w:right w:w="4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573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At least annually, a diagnostic medical physicist or magnetic resonance imaging (MRI) scientist conducts a performance evaluation of all MRI imaging equipment. The evaluation results, along with recommendations for correcting any problems identified, are documented. The evaluation includes the use of phantoms to assess the following imaging metrics:</w:t>
            </w:r>
          </w:p>
          <w:p w:rsidR="008E4C54" w:rsidRDefault="00102B27" w:rsidP="001D08E5">
            <w:pPr>
              <w:ind w:left="2"/>
            </w:pPr>
            <w:r>
              <w:t>‐ Image uniformity for all radiofrequency (RF) coils used clinically</w:t>
            </w:r>
          </w:p>
          <w:p w:rsidR="008E4C54" w:rsidRDefault="00102B27" w:rsidP="001D08E5">
            <w:pPr>
              <w:ind w:left="2"/>
            </w:pPr>
            <w:r>
              <w:t>‐ Signal‐to‐noise ratio (SNR) for all coils used clinically</w:t>
            </w:r>
          </w:p>
          <w:p w:rsidR="008E4C54" w:rsidRDefault="00102B27" w:rsidP="001D08E5">
            <w:pPr>
              <w:ind w:left="2"/>
            </w:pPr>
            <w:r>
              <w:t>‐ Slice thickness accuracy</w:t>
            </w:r>
          </w:p>
          <w:p w:rsidR="008E4C54" w:rsidRDefault="00102B27" w:rsidP="001D08E5">
            <w:pPr>
              <w:ind w:left="2"/>
            </w:pPr>
            <w:r>
              <w:t>‐ Slice position accuracy</w:t>
            </w:r>
          </w:p>
          <w:p w:rsidR="008E4C54" w:rsidRDefault="00102B27" w:rsidP="001D08E5">
            <w:pPr>
              <w:ind w:left="2"/>
            </w:pPr>
            <w:r>
              <w:t>‐ Alignment light accuracy</w:t>
            </w:r>
          </w:p>
          <w:p w:rsidR="008E4C54" w:rsidRDefault="00102B27" w:rsidP="001D08E5">
            <w:pPr>
              <w:ind w:left="2"/>
            </w:pPr>
            <w:r>
              <w:t>‐ High‐contrast resolution</w:t>
            </w:r>
          </w:p>
          <w:p w:rsidR="008E4C54" w:rsidRDefault="00102B27" w:rsidP="001D08E5">
            <w:pPr>
              <w:ind w:left="2"/>
            </w:pPr>
            <w:r>
              <w:t>‐ Low‐contrast resolution (or contrast‐to‐noise ratio)</w:t>
            </w:r>
          </w:p>
          <w:p w:rsidR="008E4C54" w:rsidRDefault="00102B27" w:rsidP="001D08E5">
            <w:pPr>
              <w:ind w:left="2"/>
            </w:pPr>
            <w:r>
              <w:t>‐ Geometric or distance accuracy</w:t>
            </w:r>
          </w:p>
          <w:p w:rsidR="008E4C54" w:rsidRDefault="00102B27" w:rsidP="001D08E5">
            <w:pPr>
              <w:ind w:left="2"/>
            </w:pPr>
            <w:r>
              <w:t>‐ Magnetic field homogeneity</w:t>
            </w:r>
          </w:p>
          <w:p w:rsidR="008E4C54" w:rsidRDefault="00102B27" w:rsidP="001D08E5">
            <w:pPr>
              <w:ind w:left="2"/>
            </w:pPr>
            <w:r>
              <w:t>‐ Artifact evaluation</w:t>
            </w:r>
          </w:p>
          <w:p w:rsidR="008E4C54" w:rsidRDefault="00102B27" w:rsidP="001D08E5">
            <w:pPr>
              <w:ind w:left="2"/>
            </w:pPr>
            <w:r>
              <w:t>Note: Medical physicists or MRI scientists are accountable for these activities. They may be assisted with the testing and evaluation of equipment performance by individuals who have the required training and skills, as determined by the medical physicist or MRI scientist. (For more information, refer to HR.01.02.01, EP 1; 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 xml:space="preserve">equipment and acquisition monitors for these modalities.  </w:t>
            </w:r>
            <w:r w:rsidR="00722AB5">
              <w:t>Organizations have</w:t>
            </w:r>
            <w:r>
              <w:t xml:space="preserve"> 60 days after the end of the state of emergency (national, federal, or local level depending upon which allows the most time to address), to complete these items.</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573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At least annually, a diagnostic medical physicist or nuclear medicine physicist conducts a performance evaluation of all nuclear medicine imaging equipment. The evaluation results, along with recommendations for correcting any problems identified, are documented. The evaluations are conducted for all of the image types produced clinically by each NM scanner (for example, planar and/or tomographic) and include the use of phantoms to assess the following imaging metrics:</w:t>
            </w:r>
          </w:p>
          <w:p w:rsidR="008E4C54" w:rsidRDefault="00102B27" w:rsidP="001D08E5">
            <w:pPr>
              <w:ind w:left="2"/>
            </w:pPr>
            <w:r>
              <w:t>‐ Image uniformity/system uniformity</w:t>
            </w:r>
          </w:p>
          <w:p w:rsidR="008E4C54" w:rsidRDefault="00102B27" w:rsidP="001D08E5">
            <w:pPr>
              <w:ind w:left="2"/>
            </w:pPr>
            <w:r>
              <w:t>‐ High‐contrast resolution/system spatial resolution</w:t>
            </w:r>
          </w:p>
          <w:p w:rsidR="008E4C54" w:rsidRDefault="00102B27" w:rsidP="001D08E5">
            <w:pPr>
              <w:ind w:left="2"/>
            </w:pPr>
            <w:r>
              <w:t>‐ Sensitivity</w:t>
            </w:r>
          </w:p>
          <w:p w:rsidR="008E4C54" w:rsidRDefault="00102B27" w:rsidP="001D08E5">
            <w:pPr>
              <w:ind w:left="2"/>
            </w:pPr>
            <w:r>
              <w:t>‐ Energy resolution</w:t>
            </w:r>
          </w:p>
          <w:p w:rsidR="008E4C54" w:rsidRDefault="00102B27" w:rsidP="001D08E5">
            <w:pPr>
              <w:ind w:left="2"/>
            </w:pPr>
            <w:r>
              <w:t>‐ Count‐rate performance</w:t>
            </w:r>
          </w:p>
          <w:p w:rsidR="008E4C54" w:rsidRDefault="00102B27" w:rsidP="001D08E5">
            <w:pPr>
              <w:ind w:left="2"/>
            </w:pPr>
            <w:r>
              <w:t>‐ Artifact evaluation</w:t>
            </w:r>
          </w:p>
          <w:p w:rsidR="008E4C54" w:rsidRDefault="00102B27" w:rsidP="001D08E5">
            <w:pPr>
              <w:spacing w:line="257" w:lineRule="auto"/>
              <w:ind w:left="2"/>
            </w:pPr>
            <w:r>
              <w:t>Note 1: The following test is recommended, but not required: Low‐contrast resolution or detectability for non‐planar acquisitions.</w:t>
            </w:r>
          </w:p>
          <w:p w:rsidR="008E4C54" w:rsidRDefault="00102B27" w:rsidP="001D08E5">
            <w:pPr>
              <w:ind w:left="2"/>
            </w:pPr>
            <w:r>
              <w:t>Note 2: The medical physicist or nuclear medicine physicist is accountable for these activities. He or she may be assisted with the testing and evaluation of equipment performance by individuals who have the required training and skills, as determined by the medical physicist or nuclear medicine physicist. (For more information, refer to HR.01.02.01, EP 1; 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equipment and acquisition monitors for these modalities.</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487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right="1"/>
            </w:pPr>
            <w:r>
              <w:t>At least annually, a diagnostic medical physicist conducts a performance evaluation of all positron emission tomography (PET) imaging equipment. The evaluation results, along with recommendations for correcting any problems identified, are documented. The evaluations are conducted for all of the image types produced clinically by each PET scanner (for example, planar and/or tomographic) and include the use of phantoms to assess the following imaging metrics:</w:t>
            </w:r>
          </w:p>
          <w:p w:rsidR="008E4C54" w:rsidRDefault="00102B27" w:rsidP="001D08E5">
            <w:pPr>
              <w:ind w:left="2"/>
            </w:pPr>
            <w:r>
              <w:t>‐ Image uniformity/system uniformity</w:t>
            </w:r>
          </w:p>
          <w:p w:rsidR="008E4C54" w:rsidRDefault="00102B27" w:rsidP="001D08E5">
            <w:pPr>
              <w:ind w:left="2"/>
            </w:pPr>
            <w:r>
              <w:t>‐ High‐contrast resolution/system spatial resolution</w:t>
            </w:r>
          </w:p>
          <w:p w:rsidR="008E4C54" w:rsidRDefault="00102B27" w:rsidP="001D08E5">
            <w:pPr>
              <w:spacing w:line="257" w:lineRule="auto"/>
              <w:ind w:left="2" w:right="1347"/>
            </w:pPr>
            <w:r>
              <w:t>‐ Low‐contrast resolution or detectability (not applicable for planar acquisitions)  ‐ Artifact evaluation</w:t>
            </w:r>
          </w:p>
          <w:p w:rsidR="008E4C54" w:rsidRDefault="00102B27" w:rsidP="001D08E5">
            <w:pPr>
              <w:spacing w:line="257" w:lineRule="auto"/>
              <w:ind w:left="2"/>
            </w:pPr>
            <w:r>
              <w:t>Note 1: The following tests are recommended, but not required, for PET scanner testing: sensitivity, energy resolution, and count‐rate performance.</w:t>
            </w:r>
          </w:p>
          <w:p w:rsidR="008E4C54" w:rsidRDefault="00102B27" w:rsidP="001D08E5">
            <w:pPr>
              <w:spacing w:line="257" w:lineRule="auto"/>
              <w:ind w:left="2"/>
            </w:pPr>
            <w:r>
              <w:t>Note 2: Medical physicists are accountable for these activities. They may be assisted with the testing and evaluation of equipment performance by individuals who have the required training and skills, as determined by the medical physicist. (For more information, refer to HR.01.02.01,</w:t>
            </w:r>
          </w:p>
          <w:p w:rsidR="008E4C54" w:rsidRDefault="00102B27" w:rsidP="001D08E5">
            <w:pPr>
              <w:ind w:left="2"/>
            </w:pPr>
            <w:r>
              <w:t>EP 1; 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equipment and acquisition monitors for these modalities.</w:t>
            </w:r>
          </w:p>
        </w:tc>
      </w:tr>
      <w:tr w:rsidR="008E4C54">
        <w:trPr>
          <w:trHeight w:val="372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25</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hanging="1"/>
            </w:pPr>
            <w:r>
              <w:t>For computed tomography (CT), positron emission tomography (PET), nuclear medicine (NM), or magnetic resonance imaging (MRI) services: The annual performance evaluation conducted by the diagnostic medical physicist or MRI scientist (for MRI only) includes testing of image acquisition display monitors for maximum and minimum luminance, luminance uniformity, resolution, and spatial accuracy.</w:t>
            </w:r>
          </w:p>
          <w:p w:rsidR="008E4C54" w:rsidRDefault="00102B27" w:rsidP="001D08E5">
            <w:pPr>
              <w:spacing w:line="257" w:lineRule="auto"/>
              <w:ind w:left="2"/>
            </w:pPr>
            <w:r>
              <w:t>Note 1: This element of performance does not apply to dental cone beam CT radiographic imaging studies performed for diagnosis of conditions affecting the maxillofacial region or to obtain guidance for the treatment of such conditions.</w:t>
            </w:r>
          </w:p>
          <w:p w:rsidR="008E4C54" w:rsidRDefault="00102B27" w:rsidP="001D08E5">
            <w:pPr>
              <w:ind w:left="2"/>
            </w:pPr>
            <w:r>
              <w:t>Note 2: Medical physicists or MRI scientists are accountable for these activities. They may be assisted with the testing and evaluation of equipment performance by individuals who have the required training and skills, as determined by the physicist or MRI scientist. (For more information, refer to HR.01.02.01, EP 1; HR.01.02.05, EP 20; HR.01.02.07, EPs 1 and 2; HR.01.06.01, EP 1; LD.03.06.01, EP 4.)</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 xml:space="preserve">equipment and acquisition monitors for these modalities.  </w:t>
            </w:r>
            <w:r w:rsidR="00722AB5">
              <w:t>Organizations have</w:t>
            </w:r>
            <w:r>
              <w:t xml:space="preserve"> 60 days after the end of the state of emergency (national, federal, or local level depending upon which allows the most time to address), to complete these items.</w:t>
            </w:r>
          </w:p>
        </w:tc>
      </w:tr>
    </w:tbl>
    <w:p w:rsidR="008E4C54" w:rsidRDefault="008E4C54" w:rsidP="001D08E5">
      <w:pPr>
        <w:spacing w:after="0"/>
        <w:ind w:left="-1440" w:right="586"/>
      </w:pPr>
    </w:p>
    <w:tbl>
      <w:tblPr>
        <w:tblStyle w:val="TableGrid"/>
        <w:tblW w:w="17113" w:type="dxa"/>
        <w:tblInd w:w="-419" w:type="dxa"/>
        <w:tblCellMar>
          <w:top w:w="51" w:type="dxa"/>
          <w:left w:w="36" w:type="dxa"/>
          <w:right w:w="25"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487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EC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EC.02.04.03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34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1"/>
            </w:pPr>
            <w:r>
              <w:t>For critical access hospitals that provide fluoroscopic services: At least annually, a diagnostic medical physicist conducts a performance evaluation of fluoroscopic imaging equipment. The evaluation results, along with recommendations for correcting any problems identified, are documented. The evaluation includes an assessment of the following:</w:t>
            </w:r>
          </w:p>
          <w:p w:rsidR="008E4C54" w:rsidRDefault="00102B27" w:rsidP="001D08E5">
            <w:pPr>
              <w:ind w:left="2"/>
            </w:pPr>
            <w:r>
              <w:t>‐ Beam alignment and collimation</w:t>
            </w:r>
          </w:p>
          <w:p w:rsidR="008E4C54" w:rsidRDefault="00102B27" w:rsidP="001D08E5">
            <w:pPr>
              <w:ind w:left="2"/>
            </w:pPr>
            <w:r>
              <w:t>‐ Tube potential/kilovolt peak (kV/kVp) accuracy</w:t>
            </w:r>
          </w:p>
          <w:p w:rsidR="008E4C54" w:rsidRDefault="00102B27" w:rsidP="001D08E5">
            <w:pPr>
              <w:ind w:left="2"/>
            </w:pPr>
            <w:r>
              <w:t>‐ Beam filtration (half‐value layer)</w:t>
            </w:r>
          </w:p>
          <w:p w:rsidR="008E4C54" w:rsidRDefault="00102B27" w:rsidP="001D08E5">
            <w:pPr>
              <w:ind w:left="2"/>
            </w:pPr>
            <w:r>
              <w:t>‐ High‐contrast resolution</w:t>
            </w:r>
          </w:p>
          <w:p w:rsidR="008E4C54" w:rsidRDefault="00102B27" w:rsidP="001D08E5">
            <w:pPr>
              <w:ind w:left="2"/>
            </w:pPr>
            <w:r>
              <w:t>‐ Low‐contrast detectability</w:t>
            </w:r>
          </w:p>
          <w:p w:rsidR="008E4C54" w:rsidRDefault="00102B27" w:rsidP="001D08E5">
            <w:pPr>
              <w:ind w:left="2"/>
            </w:pPr>
            <w:r>
              <w:t>‐ Maximum exposure rate in all imaging modes</w:t>
            </w:r>
          </w:p>
          <w:p w:rsidR="008E4C54" w:rsidRDefault="00102B27" w:rsidP="001D08E5">
            <w:pPr>
              <w:ind w:left="2"/>
            </w:pPr>
            <w:r>
              <w:t>‐ Displayed air‐kerma rate and cumulative‐air kerma accuracy (when applicable)</w:t>
            </w:r>
          </w:p>
          <w:p w:rsidR="008E4C54" w:rsidRDefault="00102B27" w:rsidP="001D08E5">
            <w:pPr>
              <w:spacing w:line="257" w:lineRule="auto"/>
              <w:ind w:left="2"/>
            </w:pPr>
            <w:r>
              <w:t>Note 1: Medical physicists conducting performance evaluations may be assisted with the testing and evaluation of equipment performance by individuals who have the required training and skills, as determined by the physicist.</w:t>
            </w:r>
          </w:p>
          <w:p w:rsidR="008E4C54" w:rsidRDefault="00102B27" w:rsidP="001D08E5">
            <w:pPr>
              <w:ind w:left="2"/>
            </w:pPr>
            <w:r>
              <w:t>Note 2: This element of performance does not apply to fluoroscopy equipment used for therapeutic radiation treatment planning or delivery.</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organizations may defer completing the performance evaluations for diagnostic imaging equipment, such as Computed Tomography (CT), Magnetic Resonance Imaging (MRI), Nuclear Medicine</w:t>
            </w:r>
          </w:p>
          <w:p w:rsidR="008E4C54" w:rsidRDefault="00102B27" w:rsidP="001D08E5">
            <w:pPr>
              <w:ind w:left="2"/>
            </w:pPr>
            <w:r>
              <w:t>(NM), Positron Emission Tomography (PET), Fluoroscopy</w:t>
            </w:r>
          </w:p>
          <w:p w:rsidR="008E4C54" w:rsidRDefault="00102B27" w:rsidP="001D08E5">
            <w:pPr>
              <w:ind w:left="2"/>
            </w:pPr>
            <w:r>
              <w:t xml:space="preserve">equipment and acquisition monitors for these modalities.  </w:t>
            </w:r>
            <w:r w:rsidR="00722AB5">
              <w:t>Organizations have</w:t>
            </w:r>
            <w:r>
              <w:t xml:space="preserve"> 60 days after the end of the state of emergency (national, federal, or local level depending upon which allows the most time to address), to complete these items.</w:t>
            </w:r>
          </w:p>
        </w:tc>
      </w:tr>
      <w:tr w:rsidR="008E4C54">
        <w:trPr>
          <w:trHeight w:val="1147"/>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EM</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EM.02.01.01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critical access hospital’s leaders, including leaders of the medical staff, participate in the development of the Emergency Operations Plan.</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This 1135 waiver is only applicable to surge sites developed as a result of influx of COVID‐19 patients.  Organizations are not required to develop an emergency operations plan for those sites.</w:t>
            </w:r>
          </w:p>
        </w:tc>
      </w:tr>
    </w:tbl>
    <w:p w:rsidR="008E4C54" w:rsidRDefault="008E4C54" w:rsidP="001D08E5">
      <w:pPr>
        <w:spacing w:after="0"/>
        <w:ind w:left="-1440" w:right="586"/>
      </w:pPr>
    </w:p>
    <w:tbl>
      <w:tblPr>
        <w:tblStyle w:val="TableGrid"/>
        <w:tblW w:w="17113" w:type="dxa"/>
        <w:tblInd w:w="-419" w:type="dxa"/>
        <w:tblCellMar>
          <w:top w:w="51" w:type="dxa"/>
          <w:left w:w="36" w:type="dxa"/>
          <w:right w:w="38"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3726"/>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r>
              <w:lastRenderedPageBreak/>
              <w:t>HR</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2"/>
            </w:pPr>
            <w:r>
              <w:t>HR.01.01.01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9"/>
            </w:pPr>
            <w:r>
              <w:t>1</w:t>
            </w:r>
          </w:p>
        </w:tc>
        <w:tc>
          <w:tcPr>
            <w:tcW w:w="8684"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spacing w:line="257" w:lineRule="auto"/>
              <w:ind w:left="3" w:hanging="1"/>
            </w:pPr>
            <w:r>
              <w:t>The critical access hospital defines staff qualifications specific to their job responsibilities. (See also HR.01.01.01, EP 32; IC.01.01.01, EP 3)</w:t>
            </w:r>
          </w:p>
          <w:p w:rsidR="008E4C54" w:rsidRDefault="00102B27" w:rsidP="001D08E5">
            <w:pPr>
              <w:spacing w:line="257" w:lineRule="auto"/>
              <w:ind w:left="2"/>
            </w:pPr>
            <w:r>
              <w:t>Note 1: Qualifications for infection control may be met through ongoing education, training, experience, and/or certification (such as that offered by the Certification Board for Infection</w:t>
            </w:r>
          </w:p>
          <w:p w:rsidR="008E4C54" w:rsidRDefault="00102B27" w:rsidP="001D08E5">
            <w:pPr>
              <w:ind w:left="2"/>
            </w:pPr>
            <w:r>
              <w:t>Control).</w:t>
            </w:r>
          </w:p>
          <w:p w:rsidR="008E4C54" w:rsidRDefault="00102B27" w:rsidP="001D08E5">
            <w:pPr>
              <w:ind w:left="2"/>
            </w:pPr>
            <w:r>
              <w:t>Note 2: For rehabilitation and psychiatric distinct part units in critical access hospitals: Qualified physical therapists, physical therapist assistants, occupational therapists, occupational therapy assistants, speech‐language pathologists, or audiologists (as defined in 42 CFR 484.4) provide physical therapy, occupational therapy, speech‐language pathology, or audiology services, if these services are provided by the critical access hospital. The provision of care and staff qualifications are in accordance with national acceptable standards of practice and also meet the requirements of 409.17. See Appendix B for 409.17 requirements.</w:t>
            </w:r>
          </w:p>
        </w:tc>
        <w:tc>
          <w:tcPr>
            <w:tcW w:w="544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2"/>
            </w:pPr>
            <w:r>
              <w:t xml:space="preserve">Regarding CPR, ACLS, BLS:   The Joint Commission released an FAQ supporting the extension of expiration dates for certifications by </w:t>
            </w:r>
            <w:r>
              <w:rPr>
                <w:b/>
              </w:rPr>
              <w:t>120 days</w:t>
            </w:r>
            <w:r w:rsidR="00722AB5">
              <w:rPr>
                <w:b/>
              </w:rPr>
              <w:t>,</w:t>
            </w:r>
            <w:r w:rsidR="00722AB5">
              <w:t xml:space="preserve"> in</w:t>
            </w:r>
            <w:r>
              <w:t xml:space="preserve"> accordance with published guidance by the American Heart Association.</w:t>
            </w:r>
          </w:p>
        </w:tc>
      </w:tr>
      <w:tr w:rsidR="008E4C54">
        <w:trPr>
          <w:trHeight w:val="4015"/>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HR</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HR.01.05.03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14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1"/>
            </w:pPr>
            <w:r>
              <w:t>The critical access hospital verifies and documents that individuals who perform diagnostic computed tomography (CT) examinations participate in ongoing education that includes annual training on the following:</w:t>
            </w:r>
          </w:p>
          <w:p w:rsidR="008E4C54" w:rsidRDefault="00102B27" w:rsidP="001D08E5">
            <w:pPr>
              <w:spacing w:line="257" w:lineRule="auto"/>
              <w:ind w:left="2"/>
            </w:pPr>
            <w:r>
              <w:t>‐ Radiation dose optimization techniques and tools for pediatric and adult patients addressed in the Image Gently® and Image Wisely® campaigns</w:t>
            </w:r>
          </w:p>
          <w:p w:rsidR="008E4C54" w:rsidRDefault="00102B27" w:rsidP="001D08E5">
            <w:pPr>
              <w:ind w:left="2"/>
            </w:pPr>
            <w:r>
              <w:t>‐ Safe procedures for operation of the types of CT equipment they will use</w:t>
            </w:r>
          </w:p>
          <w:p w:rsidR="008E4C54" w:rsidRDefault="00102B27" w:rsidP="001D08E5">
            <w:pPr>
              <w:spacing w:line="257" w:lineRule="auto"/>
              <w:ind w:left="2"/>
            </w:pPr>
            <w:r>
              <w:t>Note 1: Information on the Image Gently and Image Wisely initiatives can be found online at http://www.imagegently.org and http://www.imagewisely.org, respectively.</w:t>
            </w:r>
          </w:p>
          <w:p w:rsidR="008E4C54" w:rsidRDefault="00102B27" w:rsidP="001D08E5">
            <w:pPr>
              <w:spacing w:line="257" w:lineRule="auto"/>
              <w:ind w:left="2"/>
            </w:pPr>
            <w:r>
              <w:t>Note 2: This element of performance does not apply to CT systems used for therapeutic radiation treatment planning or delivery, or for calculating attenuation coefficients for nuclear medicine studies.</w:t>
            </w:r>
          </w:p>
          <w:p w:rsidR="008E4C54" w:rsidRDefault="00102B27" w:rsidP="001D08E5">
            <w:pPr>
              <w:ind w:left="2"/>
            </w:pPr>
            <w:r>
              <w:t>Note 3: This element of performance does not apply to dental cone beam CT radiographic imaging studies performed for diagnosis of conditions affecting the maxillofacial region or to obtain guidance for the treatment of such conditions.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During the COVID‐19 pandemic, when a state of emergency has been declared and the organization has activated their emergency operations plan, organizations  have 60 days after the end of the state of emergency (national, federal, or local level depending upon which allows the most time to address), to complete these items.</w:t>
            </w:r>
          </w:p>
        </w:tc>
      </w:tr>
    </w:tbl>
    <w:p w:rsidR="008E4C54" w:rsidRDefault="008E4C54" w:rsidP="001D08E5">
      <w:pPr>
        <w:spacing w:after="0"/>
        <w:ind w:left="-1440" w:right="586"/>
      </w:pPr>
    </w:p>
    <w:tbl>
      <w:tblPr>
        <w:tblStyle w:val="TableGrid"/>
        <w:tblW w:w="17113" w:type="dxa"/>
        <w:tblInd w:w="-419" w:type="dxa"/>
        <w:tblCellMar>
          <w:top w:w="51" w:type="dxa"/>
          <w:left w:w="36" w:type="dxa"/>
          <w:right w:w="20"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LD.01.03.01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1"/>
            </w:pPr>
            <w:r>
              <w:t>6</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governing body works with the senior managers and leaders of the organized medical staff to annually evaluate the critical access hospital’s performance in relation to its mission, vision, and goals.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722AB5">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LD.03.02.01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1"/>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
            </w:pPr>
            <w:r>
              <w:t>Leaders set expectations for using data and information for the following:</w:t>
            </w:r>
          </w:p>
          <w:p w:rsidR="008E4C54" w:rsidRDefault="00102B27" w:rsidP="001D08E5">
            <w:pPr>
              <w:ind w:left="2"/>
            </w:pPr>
            <w:r>
              <w:t>‐ Improving the safety and quality of care, treatment, or services</w:t>
            </w:r>
          </w:p>
          <w:p w:rsidR="008E4C54" w:rsidRDefault="00102B27" w:rsidP="001D08E5">
            <w:pPr>
              <w:ind w:left="2"/>
            </w:pPr>
            <w:r>
              <w:t>‐ Creating a culture of safety and quality</w:t>
            </w:r>
          </w:p>
          <w:p w:rsidR="008E4C54" w:rsidRDefault="00102B27" w:rsidP="001D08E5">
            <w:pPr>
              <w:ind w:left="2" w:right="876"/>
            </w:pPr>
            <w:r>
              <w:t>‐ Decision making that supports the safety and quality of care, treatment, and services ‐ Identifying and responding to internal and external changes in the environment</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722AB5">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LD.03.02.01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1"/>
            </w:pPr>
            <w:r>
              <w:t>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Leaders evaluate how effectively data and information are used throughout the critical access hospital.</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722AB5">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LD.03.03.01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0"/>
            </w:pPr>
            <w:r>
              <w:t>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 xml:space="preserve">Planning is </w:t>
            </w:r>
            <w:r w:rsidR="00722AB5">
              <w:t>hospital wide</w:t>
            </w:r>
            <w:r>
              <w:t>, systematic, and involves designated individuals and information sources.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722AB5">
              <w:t>data driven</w:t>
            </w:r>
            <w:r>
              <w:t xml:space="preserve"> quality assessment and performance improvement program will remain</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721"/>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2"/>
            </w:pPr>
            <w:r>
              <w:t>6</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2"/>
            </w:pPr>
            <w:r>
              <w:t>Except as permitted for critical access hospitals having distinct part units under 42 CFR 485.647, the critical access hospital maintains no more than 25 inpatient beds that can be used for either inpatient or swing bed services.</w:t>
            </w:r>
          </w:p>
          <w:p w:rsidR="008E4C54" w:rsidRDefault="00102B27" w:rsidP="001D08E5">
            <w:pPr>
              <w:ind w:left="2"/>
            </w:pPr>
            <w:r>
              <w:t>Note: Any bed in a unit of the facility that is licensed as a distinct‐part skilled nursing facility at the time the facility applies to the state for designation as a critical access hospital is not counted in this 25‐bed count.</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Waived by CMS 1135 Waiver 3/30/20</w:t>
            </w:r>
          </w:p>
        </w:tc>
      </w:tr>
      <w:tr w:rsidR="008E4C54">
        <w:trPr>
          <w:trHeight w:val="574"/>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1"/>
            </w:pPr>
            <w:r>
              <w:t>7</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right="9" w:hanging="1"/>
            </w:pPr>
            <w:r>
              <w:t>The critical access hospital provides acute inpatient care for a period that does not exceed, on an annual average basis, 96 hours per patient.</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Waived by CMS 1135 Waiver 3/30/20</w:t>
            </w:r>
          </w:p>
        </w:tc>
      </w:tr>
      <w:tr w:rsidR="008E4C54">
        <w:trPr>
          <w:trHeight w:val="860"/>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1"/>
            </w:pPr>
            <w:r>
              <w:t>8</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carries out or arranges for, at a minimum, an annual evaluation of its total program which includes a review of the utilization of its services, a representative sample of active and closed records, and health care policies.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entire utilization review (UR) program has been waived by CMS during the time of the declared disaster (pandemic).</w:t>
            </w:r>
          </w:p>
        </w:tc>
      </w:tr>
      <w:tr w:rsidR="008E4C54">
        <w:trPr>
          <w:trHeight w:val="5449"/>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LD</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LD.04.03.09</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23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2"/>
            </w:pPr>
            <w:r>
              <w:t>When telemedicine services are furnished to the critical access hospital’s patients, the originating site has a written agreement with the distant site that specifies the following:</w:t>
            </w:r>
          </w:p>
          <w:p w:rsidR="008E4C54" w:rsidRDefault="00102B27" w:rsidP="001D08E5">
            <w:pPr>
              <w:ind w:left="2"/>
            </w:pPr>
            <w:r>
              <w:t>‐ The distant site is a contractor of services to the critical access hospital.</w:t>
            </w:r>
          </w:p>
          <w:p w:rsidR="008E4C54" w:rsidRDefault="00102B27" w:rsidP="001D08E5">
            <w:pPr>
              <w:spacing w:line="257" w:lineRule="auto"/>
              <w:ind w:left="2"/>
            </w:pPr>
            <w:r>
              <w:t>‐ The distant site furnishes services in a manner that permits the originating site to be in compliance with the Medicare Conditions of Participation</w:t>
            </w:r>
          </w:p>
          <w:p w:rsidR="008E4C54" w:rsidRDefault="00102B27" w:rsidP="001D08E5">
            <w:pPr>
              <w:spacing w:line="257" w:lineRule="auto"/>
              <w:ind w:left="2"/>
            </w:pPr>
            <w:r>
              <w:t>‐ The originating site makes certain through the written agreement that all distant‐site telemedicine providers’ credentialing and privileging processes meet, at a minimum, the</w:t>
            </w:r>
          </w:p>
          <w:p w:rsidR="008E4C54" w:rsidRDefault="00102B27" w:rsidP="001D08E5">
            <w:pPr>
              <w:spacing w:line="257" w:lineRule="auto"/>
              <w:ind w:left="2"/>
            </w:pPr>
            <w:r>
              <w:t>Medicare Conditions of Participation at 42 CFR 485.616(c)(1)(i) through (c)(1)(vii). (See also MS.13.01.01, EP 1)</w:t>
            </w:r>
          </w:p>
          <w:p w:rsidR="008E4C54" w:rsidRDefault="00102B27" w:rsidP="001D08E5">
            <w:pPr>
              <w:spacing w:line="257" w:lineRule="auto"/>
              <w:ind w:left="2"/>
            </w:pPr>
            <w:r>
              <w:t>Note: For the language of the Medicare Conditions of Participation pertaining to telemedicine, see Appendix A.</w:t>
            </w:r>
          </w:p>
          <w:p w:rsidR="008E4C54" w:rsidRDefault="00102B27" w:rsidP="001D08E5">
            <w:pPr>
              <w:spacing w:line="257" w:lineRule="auto"/>
              <w:ind w:left="2"/>
            </w:pPr>
            <w:r>
              <w:t>If the originating site chooses to use the credentialing and privileging decision of the distant‐site telemedicine provider, then the following requirements apply:</w:t>
            </w:r>
          </w:p>
          <w:p w:rsidR="008E4C54" w:rsidRDefault="00102B27" w:rsidP="001D08E5">
            <w:pPr>
              <w:spacing w:line="257" w:lineRule="auto"/>
              <w:ind w:left="2"/>
            </w:pPr>
            <w:r>
              <w:t>‐ The governing body of the distant site is responsible for having a process that is consistent with the credentialing and privileging requirements in the “Medical Staff” (MS) chapter (Standards MS.06.01.01 through MS.06.01.13).</w:t>
            </w:r>
          </w:p>
          <w:p w:rsidR="008E4C54" w:rsidRDefault="00102B27" w:rsidP="001D08E5">
            <w:pPr>
              <w:ind w:left="2"/>
            </w:pPr>
            <w:r>
              <w:t>‐ The governing body of the originating site grants privileges to a distant‐site licensed independent practitioner based on the originating site’s medical staff recommendations, which rely on information provided by the distant site.</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requirement listed within this element of performance for a written agreement is being waived to allow for increased access to necessary care for patients.  Disaster privileges may be extended under EM.02.02.13.</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8096"/>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r>
              <w:t>MM</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3"/>
            </w:pPr>
            <w:r>
              <w:t>MM.05.01.07</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right="28"/>
            </w:pPr>
            <w:r>
              <w:t>5</w:t>
            </w:r>
          </w:p>
        </w:tc>
        <w:tc>
          <w:tcPr>
            <w:tcW w:w="8684"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2"/>
            </w:pPr>
            <w:r>
              <w:t>For rehabilitation and psychiatric distinct part units in critical access hospitals: Medications are prepared and administered in accordance with the orders of a licensed independent practitioner or other practitioner responsible for the patient's care, and in accordance with critical access hospital policies; medical staff bylaws, rules, and regulations; and law and regulation.</w:t>
            </w:r>
          </w:p>
        </w:tc>
        <w:tc>
          <w:tcPr>
            <w:tcW w:w="544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2"/>
            </w:pPr>
            <w:r>
              <w:t>USP released guidance which allows for the following</w:t>
            </w:r>
          </w:p>
          <w:p w:rsidR="008E4C54" w:rsidRDefault="00102B27" w:rsidP="001D08E5">
            <w:pPr>
              <w:spacing w:after="1" w:line="257" w:lineRule="auto"/>
              <w:ind w:left="2"/>
            </w:pPr>
            <w:r>
              <w:t>Beyond Use Date Considerations during the COVID‐19 Pandemic.  Organizations may utilize these guidelines and remain in compliance with Joint Commission standards until the state of emergency has been lifted at the regional, state or national level for the organization.</w:t>
            </w:r>
          </w:p>
          <w:p w:rsidR="008E4C54" w:rsidRDefault="00102B27" w:rsidP="001D08E5">
            <w:pPr>
              <w:spacing w:line="257" w:lineRule="auto"/>
              <w:ind w:left="2" w:right="68"/>
            </w:pPr>
            <w:r>
              <w:t xml:space="preserve">•For low‐ and medium‐risk level compounded sterile </w:t>
            </w:r>
            <w:r>
              <w:rPr>
                <w:rFonts w:ascii="Microsoft Sans Serif" w:eastAsia="Microsoft Sans Serif" w:hAnsi="Microsoft Sans Serif" w:cs="Microsoft Sans Serif"/>
                <w:sz w:val="23"/>
              </w:rPr>
              <w:t xml:space="preserve"> </w:t>
            </w:r>
            <w:r>
              <w:t>preparations (CSPs) prepared in a segregated compounding area, apply BUDs conservatively, not to exceed (Please note during this time, an allowance has been made to compound Medium Risk Level items in a Segregated Compounding Area): o12 hours at controlled room temperature</w:t>
            </w:r>
            <w:r>
              <w:rPr>
                <w:rFonts w:ascii="Microsoft Sans Serif" w:eastAsia="Microsoft Sans Serif" w:hAnsi="Microsoft Sans Serif" w:cs="Microsoft Sans Serif"/>
                <w:sz w:val="23"/>
              </w:rPr>
              <w:t xml:space="preserve"> </w:t>
            </w:r>
            <w:r>
              <w:t>o24 hours in a refrigerator</w:t>
            </w:r>
          </w:p>
          <w:p w:rsidR="008E4C54" w:rsidRDefault="00102B27" w:rsidP="001D08E5">
            <w:pPr>
              <w:spacing w:after="1" w:line="257" w:lineRule="auto"/>
              <w:ind w:left="2" w:right="855"/>
            </w:pPr>
            <w:r>
              <w:t xml:space="preserve">•For low‐ and medium‐risk level CSPs prepared in a </w:t>
            </w:r>
            <w:r>
              <w:rPr>
                <w:rFonts w:ascii="Microsoft Sans Serif" w:eastAsia="Microsoft Sans Serif" w:hAnsi="Microsoft Sans Serif" w:cs="Microsoft Sans Serif"/>
                <w:sz w:val="23"/>
              </w:rPr>
              <w:t xml:space="preserve"> </w:t>
            </w:r>
            <w:r>
              <w:t>cleanroom suite, apply BUDs conservatively, not to exceed:</w:t>
            </w:r>
          </w:p>
          <w:p w:rsidR="008E4C54" w:rsidRDefault="00102B27" w:rsidP="001D08E5">
            <w:pPr>
              <w:ind w:left="2"/>
            </w:pPr>
            <w:r>
              <w:t>o4 days at controlled room temperature</w:t>
            </w:r>
          </w:p>
          <w:p w:rsidR="008E4C54" w:rsidRDefault="00102B27" w:rsidP="001D08E5">
            <w:pPr>
              <w:spacing w:line="257" w:lineRule="auto"/>
              <w:ind w:left="2" w:right="437"/>
            </w:pPr>
            <w:r>
              <w:t>o10 days in a refrigerator for medium‐risk level CSPs</w:t>
            </w:r>
            <w:r>
              <w:rPr>
                <w:rFonts w:ascii="Microsoft Sans Serif" w:eastAsia="Microsoft Sans Serif" w:hAnsi="Microsoft Sans Serif" w:cs="Microsoft Sans Serif"/>
                <w:sz w:val="23"/>
              </w:rPr>
              <w:t xml:space="preserve"> </w:t>
            </w:r>
            <w:r>
              <w:t>o14 days in refrigerator for low‐risk level CSPs</w:t>
            </w:r>
          </w:p>
          <w:p w:rsidR="008E4C54" w:rsidRDefault="00102B27" w:rsidP="001D08E5">
            <w:pPr>
              <w:ind w:left="2"/>
            </w:pPr>
            <w:r>
              <w:t>o45 days in a solid frozen state at −25° to −10° or colder</w:t>
            </w:r>
          </w:p>
          <w:p w:rsidR="008E4C54" w:rsidRDefault="00102B27" w:rsidP="001D08E5">
            <w:pPr>
              <w:spacing w:after="1" w:line="257" w:lineRule="auto"/>
              <w:ind w:left="2" w:right="272"/>
            </w:pPr>
            <w:r>
              <w:t xml:space="preserve">•If a single‐dose container is entered or punctured only in </w:t>
            </w:r>
            <w:r>
              <w:rPr>
                <w:rFonts w:ascii="Microsoft Sans Serif" w:eastAsia="Microsoft Sans Serif" w:hAnsi="Microsoft Sans Serif" w:cs="Microsoft Sans Serif"/>
                <w:sz w:val="23"/>
              </w:rPr>
              <w:t xml:space="preserve"> </w:t>
            </w:r>
            <w:r>
              <w:t>ISO Class 5 or cleaner air, it may be used up to:</w:t>
            </w:r>
          </w:p>
          <w:p w:rsidR="00722AB5" w:rsidRDefault="00722AB5" w:rsidP="00722AB5">
            <w:pPr>
              <w:pStyle w:val="ListParagraph"/>
              <w:numPr>
                <w:ilvl w:val="0"/>
                <w:numId w:val="2"/>
              </w:numPr>
              <w:spacing w:after="1" w:line="257" w:lineRule="auto"/>
            </w:pPr>
            <w:r>
              <w:t>12 hours aft</w:t>
            </w:r>
            <w:r w:rsidR="00102B27">
              <w:t>er ini</w:t>
            </w:r>
            <w:r>
              <w:t>ti</w:t>
            </w:r>
            <w:r w:rsidR="00102B27">
              <w:t>al entry or puncture, as long as the</w:t>
            </w:r>
            <w:r w:rsidR="00102B27" w:rsidRPr="00722AB5">
              <w:rPr>
                <w:rFonts w:ascii="Microsoft Sans Serif" w:eastAsia="Microsoft Sans Serif" w:hAnsi="Microsoft Sans Serif" w:cs="Microsoft Sans Serif"/>
                <w:sz w:val="23"/>
              </w:rPr>
              <w:t xml:space="preserve"> </w:t>
            </w:r>
            <w:r w:rsidR="00102B27">
              <w:t>storage requirements during that 12‐hour period are maintained.</w:t>
            </w:r>
          </w:p>
          <w:p w:rsidR="008E4C54" w:rsidRDefault="00102B27" w:rsidP="00722AB5">
            <w:pPr>
              <w:pStyle w:val="ListParagraph"/>
              <w:numPr>
                <w:ilvl w:val="0"/>
                <w:numId w:val="2"/>
              </w:numPr>
              <w:spacing w:after="1" w:line="257" w:lineRule="auto"/>
            </w:pPr>
            <w:r>
              <w:t>Opened single‐dose ampules must not be stored for any</w:t>
            </w:r>
          </w:p>
        </w:tc>
      </w:tr>
    </w:tbl>
    <w:p w:rsidR="008E4C54" w:rsidRDefault="008E4C54" w:rsidP="001D08E5">
      <w:pPr>
        <w:spacing w:after="0"/>
        <w:ind w:left="-1440" w:right="586"/>
      </w:pPr>
    </w:p>
    <w:tbl>
      <w:tblPr>
        <w:tblStyle w:val="TableGrid"/>
        <w:tblW w:w="17113" w:type="dxa"/>
        <w:tblInd w:w="-419" w:type="dxa"/>
        <w:tblCellMar>
          <w:top w:w="51" w:type="dxa"/>
          <w:left w:w="36" w:type="dxa"/>
          <w:right w:w="1" w:type="dxa"/>
        </w:tblCellMar>
        <w:tblLook w:val="04A0" w:firstRow="1" w:lastRow="0" w:firstColumn="1" w:lastColumn="0" w:noHBand="0" w:noVBand="1"/>
      </w:tblPr>
      <w:tblGrid>
        <w:gridCol w:w="952"/>
        <w:gridCol w:w="1451"/>
        <w:gridCol w:w="578"/>
        <w:gridCol w:w="8684"/>
        <w:gridCol w:w="5448"/>
      </w:tblGrid>
      <w:tr w:rsidR="008E4C54">
        <w:trPr>
          <w:trHeight w:val="574"/>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5447"/>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r>
              <w:t>MS</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3"/>
            </w:pPr>
            <w:r>
              <w:t>MS.03.01.01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146"/>
            </w:pPr>
            <w:r>
              <w:t>10</w:t>
            </w:r>
          </w:p>
        </w:tc>
        <w:tc>
          <w:tcPr>
            <w:tcW w:w="8684"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1D08E5">
            <w:pPr>
              <w:ind w:left="3" w:hanging="1"/>
            </w:pPr>
            <w:r>
              <w:t>The organized medical staff defines when a medical history and physical examination must be validated and countersigned by a licensed independent practitioner with appropriate privileges.</w:t>
            </w:r>
          </w:p>
        </w:tc>
        <w:tc>
          <w:tcPr>
            <w:tcW w:w="5448" w:type="dxa"/>
            <w:tcBorders>
              <w:top w:val="single" w:sz="8" w:space="0" w:color="000000"/>
              <w:left w:val="single" w:sz="8" w:space="0" w:color="000000"/>
              <w:bottom w:val="single" w:sz="8" w:space="0" w:color="000000"/>
              <w:right w:val="single" w:sz="8" w:space="0" w:color="000000"/>
            </w:tcBorders>
            <w:shd w:val="clear" w:color="auto" w:fill="FFFFFF"/>
          </w:tcPr>
          <w:p w:rsidR="008E4C54" w:rsidRDefault="00102B27" w:rsidP="00722AB5">
            <w:pPr>
              <w:spacing w:line="257" w:lineRule="auto"/>
              <w:ind w:left="2"/>
            </w:pPr>
            <w:r>
              <w:t>CMS is waiving the requirement for CAHs that a doctor of medicine or osteopathy be physically present to provide medical direction, consultation, and supervision for the services provided in the CAH at § 485.631(b)(2). CMS is retaining the regulatory language in the second part of the requirement at § 485.631(b)(2) that a physician be available “through direct radio or telephone communication, or electronic communication for consultation, assistance with medical emergencies, or patient referral.” Retaining this longstanding CMS policy and related longstanding sub</w:t>
            </w:r>
            <w:r w:rsidR="00722AB5">
              <w:t>-</w:t>
            </w:r>
            <w:r>
              <w:t>regulatory guidance that further described</w:t>
            </w:r>
            <w:r w:rsidR="00722AB5">
              <w:t xml:space="preserve"> </w:t>
            </w:r>
            <w:r>
              <w:t>communication between CAHs and physicians will assure an appropriate level of physician direction and supervision for the services provided by the CAH. This will allow the physician to perform responsibilities remotely, as appropriate. This also allows CAHs to use nurse</w:t>
            </w:r>
            <w:r w:rsidR="00722AB5">
              <w:t xml:space="preserve"> </w:t>
            </w:r>
            <w:r>
              <w:t>practitioners and physician assistants to the fullest extent possible, while ensuring necessary consultation and support as needed.</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MS</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MS.08.01.03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28"/>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process for the ongoing professional practice evaluation includes the following: There is a clearly defined process in place that facilitates the evaluation of each practitioner’s professional practice.</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Ongoing Professional Practice Evaluations (OPPE) should continue to the extent possible, practitioner performance data collection for OPPE should continue based on the established process.  If gaps in data occur as a result of temporary reallocation of resources, the organization should document the contributing factors leading to such gaps.  If resources are unavailable to review the data within the defined time frames, the organization may temporarily modify the review process until such time resources can be re‐allocated back to resume the process as designed. Any modifications to the review process should allow the medical staff to detect – and address – downward trending performance. Examples may include review of incident reports, staff/patient complaints, post‐procedure complications, sentinel or other events resulting in negative patient outcomes, etc.</w:t>
            </w:r>
          </w:p>
          <w:p w:rsidR="008E4C54" w:rsidRDefault="00102B27" w:rsidP="001D08E5">
            <w:pPr>
              <w:ind w:left="2"/>
            </w:pPr>
            <w:r>
              <w:t>• The organization should periodically reassess the availability of resources to determine when the OPPE data collection and review process can resume as designed.</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MS</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MS.08.01.03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28"/>
            </w:pPr>
            <w:r>
              <w:t>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process for the ongoing professional practice evaluation includes the following: The type of data to be collected is determined by individual departments and approved by the organized medical staff.</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Ongoing Professional Practice Evaluations (OPPE) should continue to the extent possible, practitioner performance data collection for OPPE should continue based on the established process.  If gaps in data occur as a result of temporary reallocation of resources, the organization should document the contributing factors leading to such gaps.  If resources are unavailable to review the data within the defined time frames, the organization may temporarily modify the review process until such time resources can be re‐allocated back to resume the process as designed. Any modifications to the review process should allow the medical staff to detect – and address – downward trending performance. Examples may include review of incident reports, staff/patient complaints, post‐procedure complications, sentinel or other events resulting in negative patient outcomes, etc.</w:t>
            </w:r>
          </w:p>
          <w:p w:rsidR="008E4C54" w:rsidRDefault="00102B27" w:rsidP="001D08E5">
            <w:pPr>
              <w:ind w:left="2"/>
            </w:pPr>
            <w:r>
              <w:t>• The organization should periodically reassess the availability of resources to determine when the OPPE data collection and review process can resume as designed.</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MS</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MS.08.01.03</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28"/>
            </w:pPr>
            <w:r>
              <w:t>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process for the ongoing professional practice evaluation includes the following: Information resulting from the ongoing professional practice evaluation is used to determine whether to continue, limit, or revoke any existing privilege(s).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During the COVID‐19 pandemic, when a state of emergency has been declared and the organization has activated their emergency operations plan, Ongoing Professional Practice Evaluations (OPPE) should continue to the extent possible, practitioner performance data collection for OPPE should continue based on the established process.  If gaps in data occur as a result of temporary reallocation of resources, the organization should document the contributing factors leading to such gaps.  If resources are unavailable to review the data within the defined time frames, the organization may temporarily modify the review process until such time resources can be re‐allocated back to resume the process as designed. Any modifications to the review process should allow the medical staff to detect – and address – downward trending performance. Examples may include review of incident reports, staff/patient complaints, post‐procedure complications, sentinel or other events resulting in negative patient outcomes, etc.</w:t>
            </w:r>
          </w:p>
          <w:p w:rsidR="008E4C54" w:rsidRDefault="00102B27" w:rsidP="001D08E5">
            <w:pPr>
              <w:ind w:left="2"/>
            </w:pPr>
            <w:r>
              <w:t>• The organization should periodically reassess the availability of resources to determine when the OPPE data collection and review process can resume as designed.</w:t>
            </w:r>
          </w:p>
        </w:tc>
      </w:tr>
    </w:tbl>
    <w:p w:rsidR="008E4C54" w:rsidRDefault="008E4C54" w:rsidP="001D08E5">
      <w:pPr>
        <w:spacing w:after="0"/>
        <w:ind w:left="-1440" w:right="586"/>
      </w:pPr>
    </w:p>
    <w:tbl>
      <w:tblPr>
        <w:tblStyle w:val="TableGrid"/>
        <w:tblW w:w="17113" w:type="dxa"/>
        <w:tblInd w:w="-419" w:type="dxa"/>
        <w:tblCellMar>
          <w:top w:w="51" w:type="dxa"/>
          <w:left w:w="36" w:type="dxa"/>
          <w:right w:w="65"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8099"/>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MS</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MS.13.01.01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6"/>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hanging="1"/>
            </w:pPr>
            <w:r>
              <w:t>All licensed independent practitioners who are responsible for the patient’s care, treatment, and services via telemedicine link are credentialed and privileged to do so at the originating site through one of the following mechanisms:</w:t>
            </w:r>
          </w:p>
          <w:p w:rsidR="008E4C54" w:rsidRDefault="00102B27" w:rsidP="001D08E5">
            <w:pPr>
              <w:spacing w:line="257" w:lineRule="auto"/>
              <w:ind w:left="2"/>
            </w:pPr>
            <w:r>
              <w:t>‐ The originating site fully privileges and credentials the practitioner according to Standards MS.06.01.03 through MS.06.01.13.</w:t>
            </w:r>
          </w:p>
          <w:p w:rsidR="008E4C54" w:rsidRDefault="00102B27" w:rsidP="001D08E5">
            <w:pPr>
              <w:ind w:left="2"/>
            </w:pPr>
            <w:r>
              <w:t>Or</w:t>
            </w:r>
          </w:p>
          <w:p w:rsidR="008E4C54" w:rsidRDefault="00102B27" w:rsidP="001D08E5">
            <w:pPr>
              <w:spacing w:line="257" w:lineRule="auto"/>
              <w:ind w:left="2"/>
            </w:pPr>
            <w:r>
              <w:t>‐ The originating site privileges practitioners using credentialing information from the distant site if the distant site is a Joint Commission–accredited organization. The distant‐site practitioner has a license that is issued or recognized by the state in which the patient is receiving telemedicine services.</w:t>
            </w:r>
          </w:p>
          <w:p w:rsidR="008E4C54" w:rsidRDefault="00102B27" w:rsidP="001D08E5">
            <w:pPr>
              <w:ind w:left="2"/>
            </w:pPr>
            <w:r>
              <w:t>Or</w:t>
            </w:r>
          </w:p>
          <w:p w:rsidR="008E4C54" w:rsidRDefault="00102B27" w:rsidP="001D08E5">
            <w:pPr>
              <w:spacing w:line="257" w:lineRule="auto"/>
              <w:ind w:left="2"/>
            </w:pPr>
            <w:r>
              <w:t>‐ The originating site may choose to use the credentialing and privileging decision from the distant site to make a final privileging decision if all the following requirements are met:</w:t>
            </w:r>
          </w:p>
          <w:p w:rsidR="008E4C54" w:rsidRDefault="00102B27" w:rsidP="001D08E5">
            <w:pPr>
              <w:spacing w:line="257" w:lineRule="auto"/>
              <w:ind w:left="2" w:right="42"/>
            </w:pPr>
            <w:r>
              <w:t>‐ The distant site is a Joint Commission–accredited hospital or ambulatory care organization.      ‐ The practitioner is privileged at the distant site for those services to be provided at the originating site.</w:t>
            </w:r>
          </w:p>
          <w:p w:rsidR="008E4C54" w:rsidRDefault="00102B27" w:rsidP="001D08E5">
            <w:pPr>
              <w:spacing w:line="257" w:lineRule="auto"/>
              <w:ind w:left="2"/>
            </w:pPr>
            <w:r>
              <w:t>‐ The distant site provides the originating site with a current list of licensed independent practitioners’ privileges.</w:t>
            </w:r>
          </w:p>
          <w:p w:rsidR="008E4C54" w:rsidRDefault="00102B27" w:rsidP="001D08E5">
            <w:pPr>
              <w:spacing w:line="257" w:lineRule="auto"/>
              <w:ind w:left="2"/>
            </w:pPr>
            <w:r>
              <w:t>‐ The originating site has evidence of an internal review of the practitioner’s performance of these privileges and sends to the distant site information that is useful to assess the practitioner’s quality of care, treatment, and services for use in privileging and performance improvement. At a minimum, this information includes all adverse outcomes related to sentinel events considered reviewable by The Joint Commission that result from the telemedicine services provided and complaints about the distant site licensed independent practitioner from patients, licensed independent practitioners, or staff at the originating site. This occurs in a way consistent with any hospital policies or procedures intended to preserve any confidentiality or privilege of information established by applicable law.</w:t>
            </w:r>
          </w:p>
          <w:p w:rsidR="008E4C54" w:rsidRDefault="00102B27" w:rsidP="001D08E5">
            <w:pPr>
              <w:ind w:left="2"/>
            </w:pPr>
            <w:r>
              <w:t>‐ When telemedicine services are provided by a distant‐site Medicare‐participating hospital,</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The process for providing privileges in a disaster are outlined in EM.02.02.13.   In addition, a written contract is not required and is waived unless the services will extend beyond the declared disaster timeframe.</w:t>
            </w:r>
          </w:p>
        </w:tc>
      </w:tr>
      <w:tr w:rsidR="008E4C54">
        <w:trPr>
          <w:trHeight w:val="860"/>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PC.01.03.01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4"/>
            </w:pPr>
            <w:r>
              <w:t>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hanging="2"/>
            </w:pPr>
            <w:r>
              <w:t>For swing beds in critical access hospitals: The critical access hospital develops the resident’s written plan of care as soon as possible after admission, but no later than seven calendar days after the resident’s comprehensive assessments are completed.</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Organizations may wish to develop care plans to assist in delivery of care, but are not required to do so at this time.</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3"/>
            </w:pPr>
            <w:r>
              <w:t>comments</w:t>
            </w:r>
          </w:p>
        </w:tc>
      </w:tr>
      <w:tr w:rsidR="008E4C54">
        <w:trPr>
          <w:trHeight w:val="1147"/>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PC.01.03.01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3"/>
            </w:pPr>
            <w:r>
              <w:t>5</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hanging="3"/>
            </w:pPr>
            <w:r>
              <w:t>The written plan of care is based on the patient’s goals and the time frames, settings, and services required to meet those goals.</w:t>
            </w:r>
          </w:p>
          <w:p w:rsidR="008E4C54" w:rsidRDefault="00102B27" w:rsidP="001D08E5">
            <w:pPr>
              <w:ind w:left="3"/>
            </w:pPr>
            <w:r>
              <w:t>Note: For psychiatric distinct part units in critical access hospitals: The patient’s goals include both short‐ and long‐term goals.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Organizations may wish to develop care plans to assist in delivery of care, but are not required to do so at this time.</w:t>
            </w:r>
          </w:p>
        </w:tc>
      </w:tr>
      <w:tr w:rsidR="008E4C54">
        <w:trPr>
          <w:trHeight w:val="860"/>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PC.01.03.01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Based on the goals established in the patient’s plan of care, staff evaluate the patient’s progress.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Organizations may wish to develop care plans to assist in delivery of care, but are not required to do so at this time.</w:t>
            </w:r>
          </w:p>
        </w:tc>
      </w:tr>
      <w:tr w:rsidR="008E4C54">
        <w:trPr>
          <w:trHeight w:val="860"/>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PC.01.03.01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4"/>
            </w:pPr>
            <w:r>
              <w:t>23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2"/>
            </w:pPr>
            <w:r>
              <w:t>The critical access hospital revises plans and goals for care, treatment, and services based on the patient’s needs. (See also RC.02.01.01,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Organizations may wish to develop care plans to assist in delivery of care, but are not required to do so at this time.</w:t>
            </w:r>
          </w:p>
        </w:tc>
      </w:tr>
    </w:tbl>
    <w:p w:rsidR="008E4C54" w:rsidRDefault="00102B27" w:rsidP="001D08E5">
      <w:r>
        <w:br w:type="page"/>
      </w:r>
    </w:p>
    <w:p w:rsidR="008E4C54" w:rsidRDefault="008E4C54" w:rsidP="001D08E5">
      <w:pPr>
        <w:spacing w:after="0"/>
        <w:ind w:left="-1440" w:right="586"/>
      </w:pPr>
    </w:p>
    <w:tbl>
      <w:tblPr>
        <w:tblStyle w:val="TableGrid"/>
        <w:tblW w:w="17113" w:type="dxa"/>
        <w:tblInd w:w="-419" w:type="dxa"/>
        <w:tblCellMar>
          <w:top w:w="51" w:type="dxa"/>
          <w:left w:w="36" w:type="dxa"/>
          <w:right w:w="12"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8099"/>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PC.03.01.01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9"/>
            </w:pPr>
            <w:r>
              <w:t>9</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1"/>
            </w:pPr>
            <w:r>
              <w:t>In accordance with the critical access hospital’s policy and state scope of practice laws, anesthesia is administered only by the following individuals:</w:t>
            </w:r>
          </w:p>
          <w:p w:rsidR="008E4C54" w:rsidRDefault="00102B27" w:rsidP="001D08E5">
            <w:pPr>
              <w:ind w:left="2"/>
            </w:pPr>
            <w:r>
              <w:t>‐ An anesthesiologist</w:t>
            </w:r>
          </w:p>
          <w:p w:rsidR="008E4C54" w:rsidRDefault="00102B27" w:rsidP="001D08E5">
            <w:pPr>
              <w:ind w:left="2"/>
            </w:pPr>
            <w:r>
              <w:t>‐ A doctor of medicine or osteopathy other than an anesthesiologist</w:t>
            </w:r>
          </w:p>
          <w:p w:rsidR="008E4C54" w:rsidRDefault="00102B27" w:rsidP="001D08E5">
            <w:pPr>
              <w:ind w:left="2"/>
            </w:pPr>
            <w:r>
              <w:t>‐ A doctor of dental surgery or dental medicine</w:t>
            </w:r>
          </w:p>
          <w:p w:rsidR="008E4C54" w:rsidRDefault="00102B27" w:rsidP="001D08E5">
            <w:pPr>
              <w:ind w:left="2"/>
            </w:pPr>
            <w:r>
              <w:t>‐ A doctor of podiatric medicine</w:t>
            </w:r>
          </w:p>
          <w:p w:rsidR="008E4C54" w:rsidRDefault="00102B27" w:rsidP="001D08E5">
            <w:pPr>
              <w:spacing w:line="257" w:lineRule="auto"/>
              <w:ind w:left="2"/>
            </w:pPr>
            <w:r>
              <w:t>‐ A certified registered nurse anesthetist (CRNA) supervised by the operating practitioner except as provided in 42 CFR 485.639(e) regarding the state exemption for this supervision *</w:t>
            </w:r>
          </w:p>
          <w:p w:rsidR="008E4C54" w:rsidRDefault="00102B27" w:rsidP="001D08E5">
            <w:pPr>
              <w:ind w:left="2"/>
            </w:pPr>
            <w:r>
              <w:t>‐ An anesthesiologist’s assistant supervised by an anesthesiologist</w:t>
            </w:r>
          </w:p>
          <w:p w:rsidR="008E4C54" w:rsidRDefault="00102B27" w:rsidP="001D08E5">
            <w:pPr>
              <w:ind w:left="2"/>
            </w:pPr>
            <w:r>
              <w:t>‐ A supervised trainee in an approved educational program</w:t>
            </w:r>
          </w:p>
          <w:p w:rsidR="008E4C54" w:rsidRDefault="00102B27" w:rsidP="001D08E5">
            <w:pPr>
              <w:ind w:left="2"/>
            </w:pPr>
            <w:r>
              <w:t>(See also PC.03.01.03, EP 1 and PC.03.01.07, EP 4)</w:t>
            </w:r>
          </w:p>
          <w:p w:rsidR="008E4C54" w:rsidRDefault="00102B27" w:rsidP="001D08E5">
            <w:pPr>
              <w:ind w:left="2"/>
            </w:pPr>
            <w:r>
              <w:t>Note: In accordance with 42 CFR 413.85(e), an approved nursing and allied health education program is a planned program of study that is licensed by state law, or if licensing is not required, is accredited by a recognized national professional organization. Such national accrediting bodies include, but are not limited to, the Commission on Accreditation of Allied Health Education Programs and the National League of Nursing Accrediting Commission. Footnote *: The CoP at 42 CFR 485.639(e) for state exemption states: A critical access hospital may be exempted from the requirement for doctor of medicine or osteopathy supervision of CRNAs if the state in which the critical access hospital is located submits a letter to the Centers for Medicare &amp; Medicaid Services (CMS) signed by the governor, following consultation with the state’s Boards of Medicine and Nursing, requesting exemption from doctor of medicine or osteopathy supervision for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 out of the current doctor of medicine or osteopathy supervision requirement, and that the opt‐out is consistent with state law. The request for exemption and recognition of state laws and the withdrawal of the request may be submitted at any time and are effective upon submission.</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CMS is waiving requirements under 42 CFR §485.639(c)(2), and §416.42 (b)(2) that a certified registered nurse anesthetist (CRNA) is under the supervision of a physician in</w:t>
            </w:r>
          </w:p>
          <w:p w:rsidR="008E4C54" w:rsidRDefault="00102B27" w:rsidP="001D08E5">
            <w:pPr>
              <w:ind w:left="2"/>
            </w:pPr>
            <w:r>
              <w:t xml:space="preserve">paragraphs §482.52(a)(5) and §485.639(c)(2). CRNA supervision will be at the </w:t>
            </w:r>
            <w:r>
              <w:rPr>
                <w:b/>
              </w:rPr>
              <w:t>discretion of the hospital and state law</w:t>
            </w:r>
            <w:r>
              <w:t>. This waiver applies to hospitals, CAHs, and Ambulatory Surgical Centers (ASCs). These waivers will allow CRNAs to function to the fullest extent of their licensure, and may be implemented so long as they are not inconsistent with a state’s emergency preparedness or pandemic plan.</w:t>
            </w:r>
          </w:p>
        </w:tc>
      </w:tr>
    </w:tbl>
    <w:p w:rsidR="008E4C54" w:rsidRDefault="008E4C54" w:rsidP="001D08E5">
      <w:pPr>
        <w:spacing w:after="0"/>
        <w:ind w:left="-1440" w:right="586"/>
      </w:pPr>
    </w:p>
    <w:tbl>
      <w:tblPr>
        <w:tblStyle w:val="TableGrid"/>
        <w:tblW w:w="17113" w:type="dxa"/>
        <w:tblInd w:w="-419" w:type="dxa"/>
        <w:tblCellMar>
          <w:top w:w="51" w:type="dxa"/>
          <w:left w:w="36" w:type="dxa"/>
          <w:right w:w="12"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1721"/>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22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For rehabilitation and psychiatric distinct part units in critical access hospitals: The critical access hospital informs the patient or the patient’s representative of his or her freedom to choose among participating Medicare providers and suppliers of post‐discharge services and, when possible, respects the patient’s or patient representative’s goals of care and treatment preferences, as well as other preferences when they are expressed. The critical access hospital does not limit the qualified providers who are available to the patient.</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This was waived by CMS 1135 waiver</w:t>
            </w:r>
          </w:p>
        </w:tc>
      </w:tr>
      <w:tr w:rsidR="008E4C54">
        <w:trPr>
          <w:trHeight w:val="1721"/>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6"/>
            </w:pPr>
            <w:r>
              <w:t>25</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1"/>
            </w:pPr>
            <w:r>
              <w:t>For rehabilitation and psychiatric distinct part units in critical access hospitals: The discharge plan identifies any home health agency or skilled nursing facility in which the critical access hospital has a disclosable financial interest, and any home health agency or skilled nursing facility that has a disclosable financial interest in a critical access hospital.</w:t>
            </w:r>
          </w:p>
          <w:p w:rsidR="008E4C54" w:rsidRDefault="00102B27" w:rsidP="001D08E5">
            <w:pPr>
              <w:ind w:left="2"/>
            </w:pPr>
            <w:r>
              <w:t>Note: Disclosure of financial interest is determined in accordance with the provisions in 42 CFR 420, subpart C and section 1861 of the Social Security Act.</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This was waived by CMS 1135 waiver</w:t>
            </w:r>
          </w:p>
        </w:tc>
      </w:tr>
    </w:tbl>
    <w:p w:rsidR="008E4C54" w:rsidRDefault="00102B27" w:rsidP="001D08E5">
      <w:r>
        <w:br w:type="page"/>
      </w:r>
    </w:p>
    <w:p w:rsidR="008E4C54" w:rsidRDefault="008E4C54" w:rsidP="001D08E5">
      <w:pPr>
        <w:spacing w:after="0"/>
        <w:ind w:left="-1440" w:right="586"/>
      </w:pPr>
    </w:p>
    <w:tbl>
      <w:tblPr>
        <w:tblStyle w:val="TableGrid"/>
        <w:tblW w:w="17113" w:type="dxa"/>
        <w:tblInd w:w="-419" w:type="dxa"/>
        <w:tblCellMar>
          <w:top w:w="51" w:type="dxa"/>
          <w:left w:w="36" w:type="dxa"/>
          <w:right w:w="1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4"/>
            </w:pPr>
            <w:r>
              <w:t>31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right="7" w:hanging="2"/>
            </w:pPr>
            <w:r>
              <w:t>The critical access hospital assists patients, their families, or the patient’s representative in selecting a post‐acute care provider by using and sharing data that includes, but is not limited to, home health agency, skilled nursing facility, inpatient rehabilitation facility, and long term care hospital data on quality measures and resource‐use measures. The critical access hospital makes certain that the post‐acute care data on quality measures and resource‐use measures is relevant and applicable to the patient’s goals of care and treatment preferences.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Detailed Information Sharing for Discharge Planning for Hospitals and CAHs. CMS is waiving the</w:t>
            </w:r>
          </w:p>
          <w:p w:rsidR="008E4C54" w:rsidRDefault="00102B27" w:rsidP="001D08E5">
            <w:pPr>
              <w:spacing w:line="257" w:lineRule="auto"/>
              <w:ind w:left="2" w:right="315"/>
            </w:pPr>
            <w:r>
              <w:t>requirement 42 CFR §482.43(a)(8), §482.61(e), and §485.642(a)(8) to provide detailed information regarding discharge planning, described below:</w:t>
            </w:r>
          </w:p>
          <w:p w:rsidR="008E4C54" w:rsidRDefault="00102B27" w:rsidP="001D08E5">
            <w:pPr>
              <w:spacing w:line="257" w:lineRule="auto"/>
              <w:ind w:left="2"/>
            </w:pPr>
            <w:r>
              <w:t>• The hospital, psychiatric hospital, and CAH must assist patients, their families, or the</w:t>
            </w:r>
          </w:p>
          <w:p w:rsidR="008E4C54" w:rsidRDefault="00102B27" w:rsidP="001D08E5">
            <w:pPr>
              <w:spacing w:line="257" w:lineRule="auto"/>
              <w:ind w:left="2"/>
            </w:pPr>
            <w:r>
              <w:t>patient’s representative in selecting a post‐acute care provider by using and sharing data that</w:t>
            </w:r>
          </w:p>
          <w:p w:rsidR="008E4C54" w:rsidRDefault="00102B27" w:rsidP="00722AB5">
            <w:pPr>
              <w:spacing w:line="257" w:lineRule="auto"/>
              <w:ind w:left="2"/>
            </w:pPr>
            <w:r>
              <w:t>includes, but is not limited to, home health agency (HHA), skilled nursing facility (SNF),</w:t>
            </w:r>
            <w:r w:rsidR="00722AB5">
              <w:t xml:space="preserve"> </w:t>
            </w:r>
            <w:r>
              <w:t>inpatient rehabilitation facility (IRF), and long‐term care hospital (LTCH) quality measures and</w:t>
            </w:r>
            <w:r w:rsidR="00722AB5">
              <w:t xml:space="preserve"> </w:t>
            </w:r>
            <w:r>
              <w:t>resource use measures. The hospital must ensure that the post‐acute care data on quality measures</w:t>
            </w:r>
            <w:r w:rsidR="00722AB5">
              <w:t xml:space="preserve"> </w:t>
            </w:r>
            <w:r>
              <w:t>and resource use measures is relevant and applicable to the patient’s goals of care and treatment preferences.</w:t>
            </w:r>
          </w:p>
          <w:p w:rsidR="008E4C54" w:rsidRDefault="00102B27" w:rsidP="00722AB5">
            <w:pPr>
              <w:spacing w:line="257" w:lineRule="auto"/>
              <w:ind w:left="2"/>
            </w:pPr>
            <w:r>
              <w:t>• CMS is maintaining the discharge planning requirements that ensure a patient is discharged to an</w:t>
            </w:r>
            <w:r w:rsidR="00722AB5">
              <w:t xml:space="preserve"> </w:t>
            </w:r>
            <w:r>
              <w:t>appropriate setting with the necessary medical information and goals of care as described in 42 CFR §482.43(a)(1)‐(7) and (b).</w:t>
            </w:r>
          </w:p>
        </w:tc>
      </w:tr>
    </w:tbl>
    <w:p w:rsidR="008E4C54" w:rsidRDefault="008E4C54" w:rsidP="001D08E5">
      <w:pPr>
        <w:spacing w:after="0"/>
        <w:ind w:left="-1440" w:right="586"/>
      </w:pPr>
    </w:p>
    <w:tbl>
      <w:tblPr>
        <w:tblStyle w:val="TableGrid"/>
        <w:tblW w:w="17113" w:type="dxa"/>
        <w:tblInd w:w="-419" w:type="dxa"/>
        <w:tblCellMar>
          <w:top w:w="51" w:type="dxa"/>
          <w:left w:w="36" w:type="dxa"/>
          <w:right w:w="1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6596"/>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PC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PC.04.01.01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33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For rehabilitation and psychiatric distinct part units in critical access hospitals:  For patients enrolled in managed care organizations, the critical access hospital makes patients aware of the need to verify with their managed care organization which practitioners, providers, or certified suppliers are in the managed care organization’s network. If the critical access hospital has information on which practitioners, providers, or certified suppliers are in the network of the patient’s managed care organization, it shares this information with the patient or the patient’s representative.</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t>Detailed Information Sharing for Discharge Planning for Hospitals and CAHs. CMS is waiving the</w:t>
            </w:r>
          </w:p>
          <w:p w:rsidR="008E4C54" w:rsidRDefault="00102B27" w:rsidP="001D08E5">
            <w:pPr>
              <w:spacing w:line="257" w:lineRule="auto"/>
              <w:ind w:left="2" w:right="315"/>
            </w:pPr>
            <w:r>
              <w:t>requirement 42 CFR §482.43(a)(8), §482.61(e), and §485.642(a)(8) to provide detailed information regarding discharge planning, described below:</w:t>
            </w:r>
          </w:p>
          <w:p w:rsidR="008E4C54" w:rsidRDefault="00102B27" w:rsidP="001D08E5">
            <w:pPr>
              <w:spacing w:line="257" w:lineRule="auto"/>
              <w:ind w:left="2"/>
            </w:pPr>
            <w:r>
              <w:t>• The hospital, psychiatric hospital, and CAH must assist patients, their families, or the</w:t>
            </w:r>
          </w:p>
          <w:p w:rsidR="008E4C54" w:rsidRDefault="00102B27" w:rsidP="001D08E5">
            <w:pPr>
              <w:spacing w:line="257" w:lineRule="auto"/>
              <w:ind w:left="2"/>
            </w:pPr>
            <w:r>
              <w:t>patient’s representative in selecting a post‐acute care provider by using and sharing data that</w:t>
            </w:r>
          </w:p>
          <w:p w:rsidR="008E4C54" w:rsidRDefault="00102B27" w:rsidP="00722AB5">
            <w:pPr>
              <w:spacing w:line="257" w:lineRule="auto"/>
              <w:ind w:left="2"/>
            </w:pPr>
            <w:r>
              <w:t>includes, but is not limited to, home health agency (HHA), skilled nursing facility (SNF),</w:t>
            </w:r>
            <w:r w:rsidR="00317BE7">
              <w:t xml:space="preserve"> </w:t>
            </w:r>
            <w:r>
              <w:t>inpatient rehabilitation facility (IRF), and long‐term care hospital (LTCH) quality measures and</w:t>
            </w:r>
            <w:r w:rsidR="00722AB5">
              <w:t xml:space="preserve"> </w:t>
            </w:r>
            <w:r>
              <w:t>resource use measures. The hospital must ensure that the post‐acute care data on quality measures</w:t>
            </w:r>
            <w:r w:rsidR="00722AB5">
              <w:t xml:space="preserve"> </w:t>
            </w:r>
            <w:r>
              <w:t>and resource use measures is relevant and applicable to the patient’s goals of care and treatment preferences.</w:t>
            </w:r>
          </w:p>
          <w:p w:rsidR="008E4C54" w:rsidRDefault="00102B27" w:rsidP="00317BE7">
            <w:pPr>
              <w:spacing w:line="257" w:lineRule="auto"/>
              <w:ind w:left="2"/>
            </w:pPr>
            <w:r>
              <w:t>• CMS is maintaining the discharge planning requirements that ensure a patient is discharged to an</w:t>
            </w:r>
            <w:r w:rsidR="00317BE7">
              <w:t xml:space="preserve"> </w:t>
            </w:r>
            <w:r>
              <w:t>appropriate setting with the necessary medical information and goals of care as described in 42 CFR §482.43(a)(1)‐(7) and (b).</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6"/>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2"/>
            </w:pPr>
            <w:r>
              <w:t>The leaders (including the governing body) set priorities for and identify the frequency of data collection. (See also LD.03.07.01, EP 2)</w:t>
            </w:r>
          </w:p>
          <w:p w:rsidR="008E4C54" w:rsidRDefault="00102B27" w:rsidP="001D08E5">
            <w:pPr>
              <w:ind w:left="2"/>
            </w:pPr>
            <w:r>
              <w:t>Note: For rehabilitation and psychiatric distinct part units in critical access hospitals: The leaders that specify the frequency and detail of data collection is the governing body.</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We expect any improvements to the plan to focus on the Public Health Emergency (PHE). While this waiver decreases burden associated with the development of a hospital or CAH QAPI program, the requirement that hospitals and CAHs maintain an effective, ongoing, hospital‐wide, data</w:t>
            </w:r>
            <w:r w:rsidR="00317BE7">
              <w:t xml:space="preserve"> </w:t>
            </w:r>
            <w:r>
              <w:t>driven quality assessment and performance improvement program will remain</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Performance improvement priorities identified by leaders. (See also LD.03.07.01,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3</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Operative or other procedures that place patients at risk of disability or death. (See also LD.03.07.01, EP 2; MS.05.01.01, EP 6)</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6</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The use of blood and blood components. (See also LD.03.07.01,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7</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All reported and confirmed transfusion reactions. (See also LD.03.07.01, EP 2; LD.03.09.01, EP 3)</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8</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The use of restraints. (See also LD.03.07.01,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9</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The use of seclusion. (See also LD.03.07.01,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10</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
            </w:pPr>
            <w:r>
              <w:t>The critical access hospital collects data on the following: The results of resuscitation. (See also</w:t>
            </w:r>
          </w:p>
          <w:p w:rsidR="008E4C54" w:rsidRDefault="00102B27" w:rsidP="001D08E5">
            <w:pPr>
              <w:ind w:left="2"/>
            </w:pPr>
            <w:r>
              <w:t>LD.03.07.01, EP 2)</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12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collects data on the following: Significant medication errors. (See also LD.03.07.01, EP 2; MM.08.01.01, EP 1)</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bl>
    <w:p w:rsidR="008E4C54" w:rsidRDefault="008E4C54" w:rsidP="001D08E5">
      <w:pPr>
        <w:spacing w:after="0"/>
        <w:ind w:left="-1440" w:right="586"/>
      </w:pPr>
    </w:p>
    <w:tbl>
      <w:tblPr>
        <w:tblStyle w:val="TableGrid"/>
        <w:tblW w:w="17113" w:type="dxa"/>
        <w:tblInd w:w="-419" w:type="dxa"/>
        <w:tblCellMar>
          <w:top w:w="51" w:type="dxa"/>
          <w:left w:w="36" w:type="dxa"/>
          <w:right w:w="15"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PI.01.01.01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45"/>
            </w:pPr>
            <w:r>
              <w:t>14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hanging="2"/>
            </w:pPr>
            <w:r>
              <w:t>The critical access hospital collects data on the following: Patient perception of the safety and quality of care, treatment, or services.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PI.02.01.01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6"/>
            </w:pPr>
            <w:r>
              <w:t>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analyzes and compares internal data over time to identify levels of performance, patterns, trends, and variations.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2008"/>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PI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PI.03.01.01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6"/>
            </w:pPr>
            <w:r>
              <w:t>2</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hanging="1"/>
            </w:pPr>
            <w:r>
              <w:t>The critical access hospital takes action on improvement priorities. (See also MM.08.01.01, EP 6; MS.05.01.01, EPs 3–7, 9)</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 xml:space="preserve">We expect any improvements to the plan to focus on the Public Health Emergency (PHE). While this waiver decreases burden associated with the development of a hospital or CAH QAPI program, the requirement that hospitals and CAHs maintain an effective, ongoing, hospital‐wide, </w:t>
            </w:r>
            <w:r w:rsidR="00317BE7">
              <w:t>data driven</w:t>
            </w:r>
            <w:r>
              <w:t xml:space="preserve"> quality assessment and performance improvement program will remain</w:t>
            </w:r>
          </w:p>
        </w:tc>
      </w:tr>
      <w:tr w:rsidR="008E4C54">
        <w:trPr>
          <w:trHeight w:val="860"/>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RC</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RC.02.03.07</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16"/>
            </w:pPr>
            <w:r>
              <w:t>4</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1"/>
            </w:pPr>
            <w:r>
              <w:t>Verbal orders are authenticated within the time frame specified by law and regulation.</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hanging="1"/>
            </w:pPr>
            <w:r>
              <w:t>The 48 hour time frame for authentication has been extended, no maximum time was provided.  The time for authentication is left to the organization to determine.</w:t>
            </w:r>
          </w:p>
        </w:tc>
      </w:tr>
    </w:tbl>
    <w:p w:rsidR="008E4C54" w:rsidRDefault="008E4C54" w:rsidP="001D08E5">
      <w:pPr>
        <w:spacing w:after="0"/>
        <w:ind w:left="-1440" w:right="586"/>
      </w:pPr>
    </w:p>
    <w:tbl>
      <w:tblPr>
        <w:tblStyle w:val="TableGrid"/>
        <w:tblW w:w="17113" w:type="dxa"/>
        <w:tblInd w:w="-419" w:type="dxa"/>
        <w:tblCellMar>
          <w:top w:w="51" w:type="dxa"/>
          <w:left w:w="36" w:type="dxa"/>
        </w:tblCellMar>
        <w:tblLook w:val="04A0" w:firstRow="1" w:lastRow="0" w:firstColumn="1" w:lastColumn="0" w:noHBand="0" w:noVBand="1"/>
      </w:tblPr>
      <w:tblGrid>
        <w:gridCol w:w="952"/>
        <w:gridCol w:w="1451"/>
        <w:gridCol w:w="578"/>
        <w:gridCol w:w="8684"/>
        <w:gridCol w:w="5448"/>
      </w:tblGrid>
      <w:tr w:rsidR="008E4C54">
        <w:trPr>
          <w:trHeight w:val="571"/>
        </w:trPr>
        <w:tc>
          <w:tcPr>
            <w:tcW w:w="952"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w:t>
            </w:r>
          </w:p>
        </w:tc>
        <w:tc>
          <w:tcPr>
            <w:tcW w:w="8684"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1"/>
            </w:pPr>
            <w:r>
              <w:t>EP Text</w:t>
            </w:r>
          </w:p>
        </w:tc>
        <w:tc>
          <w:tcPr>
            <w:tcW w:w="5448" w:type="dxa"/>
            <w:tcBorders>
              <w:top w:val="single" w:sz="8" w:space="0" w:color="000000"/>
              <w:left w:val="single" w:sz="8" w:space="0" w:color="000000"/>
              <w:bottom w:val="single" w:sz="8" w:space="0" w:color="000000"/>
              <w:right w:val="single" w:sz="8" w:space="0" w:color="000000"/>
            </w:tcBorders>
            <w:shd w:val="clear" w:color="auto" w:fill="B3C5E6"/>
          </w:tcPr>
          <w:p w:rsidR="008E4C54" w:rsidRDefault="00102B27" w:rsidP="001D08E5">
            <w:pPr>
              <w:ind w:left="2"/>
            </w:pPr>
            <w:r>
              <w:t>comments</w:t>
            </w:r>
          </w:p>
        </w:tc>
      </w:tr>
      <w:tr w:rsidR="008E4C54">
        <w:trPr>
          <w:trHeight w:val="4302"/>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lastRenderedPageBreak/>
              <w:t>RI</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3"/>
            </w:pPr>
            <w:r>
              <w:t>RI.01.05.01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30"/>
            </w:pPr>
            <w:r>
              <w:t>1</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hanging="1"/>
            </w:pPr>
            <w:r>
              <w:t>The critical access hospital follows written policies on advance directives, forgoing or withdrawing life‐sustaining treatment, and withholding resuscitative services that address the following:</w:t>
            </w:r>
          </w:p>
          <w:p w:rsidR="008E4C54" w:rsidRDefault="00102B27" w:rsidP="001D08E5">
            <w:pPr>
              <w:spacing w:line="257" w:lineRule="auto"/>
              <w:ind w:left="2"/>
            </w:pPr>
            <w:r>
              <w:t>‐ Providing patients with written information about advance directives, forgoing or withdrawing life‐sustaining treatment, and withholding resuscitative services.</w:t>
            </w:r>
          </w:p>
          <w:p w:rsidR="008E4C54" w:rsidRDefault="00102B27" w:rsidP="001D08E5">
            <w:pPr>
              <w:spacing w:line="257" w:lineRule="auto"/>
              <w:ind w:left="2"/>
            </w:pPr>
            <w:r>
              <w:t>‐ For outpatient settings: Communicating its policy on advance directives upon request or when warranted by the care, treatment, and services provided.</w:t>
            </w:r>
          </w:p>
          <w:p w:rsidR="008E4C54" w:rsidRDefault="00102B27" w:rsidP="001D08E5">
            <w:pPr>
              <w:spacing w:line="257" w:lineRule="auto"/>
              <w:ind w:left="2"/>
            </w:pPr>
            <w:r>
              <w:t>‐ Providing the patient upon admission with information on the extent to which the critical access hospital is able, unable, or unwilling to honor advance directives.</w:t>
            </w:r>
          </w:p>
          <w:p w:rsidR="008E4C54" w:rsidRDefault="00102B27" w:rsidP="001D08E5">
            <w:pPr>
              <w:spacing w:line="257" w:lineRule="auto"/>
              <w:ind w:left="2" w:right="126"/>
            </w:pPr>
            <w:r>
              <w:t>‐ Whether the critical access hospital will honor advance directives in its outpatient settings. ‐ That the critical access hospital will honor the patient’s right to formulate or review and revise his or her advance directives.</w:t>
            </w:r>
          </w:p>
          <w:p w:rsidR="008E4C54" w:rsidRDefault="00102B27" w:rsidP="001D08E5">
            <w:pPr>
              <w:ind w:left="2"/>
            </w:pPr>
            <w:r>
              <w:t>‐ Informing staff and licensed independent practitioners who are involved in the patient's care, treatment, and services whether or not the patient has an advance directive.</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2"/>
            </w:pPr>
            <w:r>
              <w:rPr>
                <w:b/>
                <w:u w:val="single" w:color="000000"/>
              </w:rPr>
              <w:t>Only the bullet points listed below are waived related to the requirement to give patients advanced directives</w:t>
            </w:r>
          </w:p>
          <w:p w:rsidR="00317BE7" w:rsidRDefault="00102B27" w:rsidP="001D08E5">
            <w:pPr>
              <w:spacing w:line="257" w:lineRule="auto"/>
              <w:ind w:left="2"/>
            </w:pPr>
            <w:r>
              <w:rPr>
                <w:b/>
                <w:u w:val="single" w:color="000000"/>
              </w:rPr>
              <w:t xml:space="preserve">information: </w:t>
            </w:r>
            <w:r>
              <w:rPr>
                <w:b/>
              </w:rPr>
              <w:t xml:space="preserve"> </w:t>
            </w:r>
            <w:r>
              <w:t xml:space="preserve"> </w:t>
            </w:r>
          </w:p>
          <w:p w:rsidR="008E4C54" w:rsidRDefault="00102B27" w:rsidP="00317BE7">
            <w:pPr>
              <w:spacing w:line="257" w:lineRule="auto"/>
            </w:pPr>
            <w:r>
              <w:t xml:space="preserve"> ‐ Providing patients with written information about advance directives, forgoing or withdrawing life‐sustaining treatment, and withholding resuscitative services.</w:t>
            </w:r>
          </w:p>
          <w:p w:rsidR="008E4C54" w:rsidRDefault="00102B27" w:rsidP="001D08E5">
            <w:pPr>
              <w:spacing w:line="257" w:lineRule="auto"/>
              <w:ind w:left="2"/>
            </w:pPr>
            <w:r>
              <w:t>‐ Providing the patient upon admission with information on the extent to which the hospital is able, unable, or unwilling to honor advance directives.</w:t>
            </w:r>
          </w:p>
          <w:p w:rsidR="008E4C54" w:rsidRDefault="00102B27" w:rsidP="001D08E5">
            <w:pPr>
              <w:ind w:left="2"/>
            </w:pPr>
            <w:r>
              <w:t>‐ For outpatient hospital settings: Communicating its policy on advance directives upon request or when warranted by the care, treatment, and services provided.</w:t>
            </w:r>
          </w:p>
        </w:tc>
      </w:tr>
      <w:tr w:rsidR="008E4C54">
        <w:trPr>
          <w:trHeight w:val="4015"/>
        </w:trPr>
        <w:tc>
          <w:tcPr>
            <w:tcW w:w="952" w:type="dxa"/>
            <w:tcBorders>
              <w:top w:val="single" w:sz="8" w:space="0" w:color="000000"/>
              <w:left w:val="single" w:sz="8" w:space="0" w:color="000000"/>
              <w:bottom w:val="single" w:sz="8" w:space="0" w:color="000000"/>
              <w:right w:val="single" w:sz="8" w:space="0" w:color="000000"/>
            </w:tcBorders>
          </w:tcPr>
          <w:p w:rsidR="008E4C54" w:rsidRDefault="00102B27" w:rsidP="001D08E5">
            <w:r>
              <w:t>WT</w:t>
            </w:r>
          </w:p>
        </w:tc>
        <w:tc>
          <w:tcPr>
            <w:tcW w:w="1451"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pPr>
            <w:r>
              <w:t>WT.03.01.01</w:t>
            </w:r>
          </w:p>
        </w:tc>
        <w:tc>
          <w:tcPr>
            <w:tcW w:w="578" w:type="dxa"/>
            <w:tcBorders>
              <w:top w:val="single" w:sz="8" w:space="0" w:color="000000"/>
              <w:left w:val="single" w:sz="8" w:space="0" w:color="000000"/>
              <w:bottom w:val="single" w:sz="8" w:space="0" w:color="000000"/>
              <w:right w:val="single" w:sz="8" w:space="0" w:color="000000"/>
            </w:tcBorders>
          </w:tcPr>
          <w:p w:rsidR="008E4C54" w:rsidRDefault="00102B27" w:rsidP="001D08E5">
            <w:pPr>
              <w:ind w:right="29"/>
            </w:pPr>
            <w:r>
              <w:t>6</w:t>
            </w:r>
          </w:p>
        </w:tc>
        <w:tc>
          <w:tcPr>
            <w:tcW w:w="8684" w:type="dxa"/>
            <w:tcBorders>
              <w:top w:val="single" w:sz="8" w:space="0" w:color="000000"/>
              <w:left w:val="single" w:sz="8" w:space="0" w:color="000000"/>
              <w:bottom w:val="single" w:sz="8" w:space="0" w:color="000000"/>
              <w:right w:val="single" w:sz="8" w:space="0" w:color="000000"/>
            </w:tcBorders>
          </w:tcPr>
          <w:p w:rsidR="008E4C54" w:rsidRDefault="00102B27" w:rsidP="001D08E5">
            <w:pPr>
              <w:spacing w:line="257" w:lineRule="auto"/>
              <w:ind w:left="3" w:hanging="1"/>
            </w:pPr>
            <w:r>
              <w:t>Competence for waived testing is assessed according to critical access hospital policy at defined intervals, but at least at the time of orientation and annually thereafter. This competency is documented.</w:t>
            </w:r>
          </w:p>
          <w:p w:rsidR="008E4C54" w:rsidRDefault="00102B27" w:rsidP="001D08E5">
            <w:pPr>
              <w:spacing w:line="257" w:lineRule="auto"/>
              <w:ind w:left="2" w:right="20"/>
            </w:pPr>
            <w:r>
              <w:t>Note 1: When a licensed independent practitioner performs waived testing that does not involve an instrument and the test falls within his or her specialty, the critical access hospital may use the medical staff credentialing and privileging process to document evidence of training and competency in lieu of annual competency assessment. In this circumstance, individual practitioner privileges include the specific waived tests appropriate to the scope of practice that he or she is authorized to perform. At the discretion of the person from the critical access hospital whose name appears on the Clinical Laboratory Improvement Amendments of 1988 (CLIA ’88) certificate or according to critical access hospital policy, more stringent competency requirements may be implemented.</w:t>
            </w:r>
          </w:p>
          <w:p w:rsidR="008E4C54" w:rsidRDefault="00102B27" w:rsidP="001D08E5">
            <w:pPr>
              <w:ind w:left="2"/>
            </w:pPr>
            <w:r>
              <w:t>Note 2: Provider‐performed microscopy (PPM) procedures are not waived tests.</w:t>
            </w:r>
          </w:p>
        </w:tc>
        <w:tc>
          <w:tcPr>
            <w:tcW w:w="5448" w:type="dxa"/>
            <w:tcBorders>
              <w:top w:val="single" w:sz="8" w:space="0" w:color="000000"/>
              <w:left w:val="single" w:sz="8" w:space="0" w:color="000000"/>
              <w:bottom w:val="single" w:sz="8" w:space="0" w:color="000000"/>
              <w:right w:val="single" w:sz="8" w:space="0" w:color="000000"/>
            </w:tcBorders>
          </w:tcPr>
          <w:p w:rsidR="008E4C54" w:rsidRDefault="00102B27" w:rsidP="001D08E5">
            <w:pPr>
              <w:ind w:left="2" w:right="11"/>
            </w:pPr>
            <w:r>
              <w:t>During the COVID‐19 pandemic, when a state of emergency has been declared and the organization has activated their emergency operations plan, organizations  have 60 days after the end of the state of emergency (national, federal, or local level depending upon which allows the most time to address), to complete these items.</w:t>
            </w:r>
          </w:p>
        </w:tc>
      </w:tr>
    </w:tbl>
    <w:p w:rsidR="00102B27" w:rsidRDefault="00102B27" w:rsidP="001D08E5"/>
    <w:sectPr w:rsidR="00102B27">
      <w:headerReference w:type="even" r:id="rId13"/>
      <w:headerReference w:type="default" r:id="rId14"/>
      <w:footerReference w:type="even" r:id="rId15"/>
      <w:footerReference w:type="default" r:id="rId16"/>
      <w:headerReference w:type="first" r:id="rId17"/>
      <w:footerReference w:type="first" r:id="rId18"/>
      <w:pgSz w:w="20160" w:h="12240" w:orient="landscape"/>
      <w:pgMar w:top="1093" w:right="1440" w:bottom="1440" w:left="1440" w:header="497" w:footer="4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B5" w:rsidRDefault="00722AB5">
      <w:pPr>
        <w:spacing w:after="0" w:line="240" w:lineRule="auto"/>
      </w:pPr>
      <w:r>
        <w:separator/>
      </w:r>
    </w:p>
  </w:endnote>
  <w:endnote w:type="continuationSeparator" w:id="0">
    <w:p w:rsidR="00722AB5" w:rsidRDefault="007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4"/>
      </w:tabs>
      <w:spacing w:after="0"/>
      <w:ind w:left="-412" w:right="-414"/>
    </w:pPr>
    <w:r>
      <w:t>CAH Program</w:t>
    </w:r>
    <w:r>
      <w:tab/>
      <w:t>Confidential and not for distribution outside of Joint Commission accredited organizations.</w:t>
    </w:r>
    <w:r>
      <w:tab/>
    </w:r>
    <w:r w:rsidR="00317BE7">
      <w:t xml:space="preserve">Page </w:t>
    </w:r>
    <w:r>
      <w:fldChar w:fldCharType="begin"/>
    </w:r>
    <w:r>
      <w:instrText xml:space="preserve"> PAGE   \* MERGEFORMAT </w:instrText>
    </w:r>
    <w:r>
      <w:fldChar w:fldCharType="separate"/>
    </w:r>
    <w:r>
      <w:t>1</w:t>
    </w:r>
    <w:r>
      <w:fldChar w:fldCharType="end"/>
    </w:r>
    <w:r>
      <w:t xml:space="preserve"> of </w:t>
    </w:r>
    <w:r w:rsidR="001E4A17">
      <w:fldChar w:fldCharType="begin"/>
    </w:r>
    <w:r w:rsidR="001E4A17">
      <w:instrText xml:space="preserve"> NUMPAGES   \* MERGEFORMAT </w:instrText>
    </w:r>
    <w:r w:rsidR="001E4A17">
      <w:fldChar w:fldCharType="separate"/>
    </w:r>
    <w:r>
      <w:t>35</w:t>
    </w:r>
    <w:r w:rsidR="001E4A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4"/>
      </w:tabs>
      <w:spacing w:after="0"/>
      <w:ind w:left="-412" w:right="-414"/>
    </w:pPr>
    <w:r>
      <w:t>CAH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rsidR="001E4A17">
      <w:rPr>
        <w:noProof/>
      </w:rPr>
      <w:t>2</w:t>
    </w:r>
    <w:r>
      <w:fldChar w:fldCharType="end"/>
    </w:r>
    <w:r>
      <w:t xml:space="preserve"> of </w:t>
    </w:r>
    <w:r w:rsidR="001E4A17">
      <w:rPr>
        <w:noProof/>
      </w:rPr>
      <w:fldChar w:fldCharType="begin"/>
    </w:r>
    <w:r w:rsidR="001E4A17">
      <w:rPr>
        <w:noProof/>
      </w:rPr>
      <w:instrText xml:space="preserve"> NUMPAGES   \* MERGEFORMAT </w:instrText>
    </w:r>
    <w:r w:rsidR="001E4A17">
      <w:rPr>
        <w:noProof/>
      </w:rPr>
      <w:fldChar w:fldCharType="separate"/>
    </w:r>
    <w:r w:rsidR="001E4A17">
      <w:rPr>
        <w:noProof/>
      </w:rPr>
      <w:t>36</w:t>
    </w:r>
    <w:r w:rsidR="001E4A1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4"/>
      </w:tabs>
      <w:spacing w:after="0"/>
      <w:ind w:left="-412" w:right="-414"/>
    </w:pPr>
    <w:r>
      <w:t>CAH Program</w:t>
    </w:r>
    <w:r>
      <w:tab/>
      <w:t>Confidential and not for distribution outside of Joint Commission accredited organ</w:t>
    </w:r>
    <w:r w:rsidR="00C329C7">
      <w:t>izations.</w:t>
    </w:r>
    <w:r w:rsidR="00C329C7">
      <w:tab/>
      <w:t xml:space="preserve">Page </w:t>
    </w:r>
    <w:r>
      <w:fldChar w:fldCharType="begin"/>
    </w:r>
    <w:r>
      <w:instrText xml:space="preserve"> PAGE   \* MERGEFORMAT </w:instrText>
    </w:r>
    <w:r>
      <w:fldChar w:fldCharType="separate"/>
    </w:r>
    <w:r>
      <w:t>1</w:t>
    </w:r>
    <w:r>
      <w:fldChar w:fldCharType="end"/>
    </w:r>
    <w:r>
      <w:t xml:space="preserve"> of </w:t>
    </w:r>
    <w:r w:rsidR="001E4A17">
      <w:fldChar w:fldCharType="begin"/>
    </w:r>
    <w:r w:rsidR="001E4A17">
      <w:instrText xml:space="preserve"> NUMPAGES   \* MERGEFORMA</w:instrText>
    </w:r>
    <w:r w:rsidR="001E4A17">
      <w:instrText xml:space="preserve">T </w:instrText>
    </w:r>
    <w:r w:rsidR="001E4A17">
      <w:fldChar w:fldCharType="separate"/>
    </w:r>
    <w:r>
      <w:t>35</w:t>
    </w:r>
    <w:r w:rsidR="001E4A1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3"/>
      </w:tabs>
      <w:spacing w:after="0"/>
      <w:ind w:left="-412" w:right="-413"/>
    </w:pPr>
    <w:r>
      <w:t>CAH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t>10</w:t>
    </w:r>
    <w:r>
      <w:fldChar w:fldCharType="end"/>
    </w:r>
    <w:r>
      <w:t xml:space="preserve"> of </w:t>
    </w:r>
    <w:r w:rsidR="001E4A17">
      <w:fldChar w:fldCharType="begin"/>
    </w:r>
    <w:r w:rsidR="001E4A17">
      <w:instrText xml:space="preserve"> NUMPAGES   \* MERGEFORMAT </w:instrText>
    </w:r>
    <w:r w:rsidR="001E4A17">
      <w:fldChar w:fldCharType="separate"/>
    </w:r>
    <w:r>
      <w:t>35</w:t>
    </w:r>
    <w:r w:rsidR="001E4A1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3"/>
      </w:tabs>
      <w:spacing w:after="0"/>
      <w:ind w:left="-412" w:right="-413"/>
    </w:pPr>
    <w:r>
      <w:t>CAH Program</w:t>
    </w:r>
    <w:r>
      <w:tab/>
      <w:t>Confidential and not for distribution outside of Joint Commission accredited organizations.</w:t>
    </w:r>
    <w:r>
      <w:tab/>
    </w:r>
    <w:r w:rsidR="001E4A17">
      <w:t xml:space="preserve">Page </w:t>
    </w:r>
    <w:r>
      <w:fldChar w:fldCharType="begin"/>
    </w:r>
    <w:r>
      <w:instrText xml:space="preserve"> PAGE   \* MERGEFORMAT </w:instrText>
    </w:r>
    <w:r>
      <w:fldChar w:fldCharType="separate"/>
    </w:r>
    <w:r w:rsidR="001E4A17">
      <w:rPr>
        <w:noProof/>
      </w:rPr>
      <w:t>22</w:t>
    </w:r>
    <w:r>
      <w:fldChar w:fldCharType="end"/>
    </w:r>
    <w:r>
      <w:t xml:space="preserve"> of </w:t>
    </w:r>
    <w:r w:rsidR="001E4A17">
      <w:rPr>
        <w:noProof/>
      </w:rPr>
      <w:fldChar w:fldCharType="begin"/>
    </w:r>
    <w:r w:rsidR="001E4A17">
      <w:rPr>
        <w:noProof/>
      </w:rPr>
      <w:instrText xml:space="preserve"> NUMPAGES   \* MERGEFORMAT </w:instrText>
    </w:r>
    <w:r w:rsidR="001E4A17">
      <w:rPr>
        <w:noProof/>
      </w:rPr>
      <w:fldChar w:fldCharType="separate"/>
    </w:r>
    <w:r w:rsidR="001E4A17">
      <w:rPr>
        <w:noProof/>
      </w:rPr>
      <w:t>36</w:t>
    </w:r>
    <w:r w:rsidR="001E4A17">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center" w:pos="8631"/>
        <w:tab w:val="right" w:pos="17693"/>
      </w:tabs>
      <w:spacing w:after="0"/>
      <w:ind w:left="-412" w:right="-413"/>
    </w:pPr>
    <w:r>
      <w:t>CAH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t>10</w:t>
    </w:r>
    <w:r>
      <w:fldChar w:fldCharType="end"/>
    </w:r>
    <w:r>
      <w:t xml:space="preserve"> of </w:t>
    </w:r>
    <w:r w:rsidR="001E4A17">
      <w:fldChar w:fldCharType="begin"/>
    </w:r>
    <w:r w:rsidR="001E4A17">
      <w:instrText xml:space="preserve"> NUMPAGES   \* MERGEFORMAT </w:instrText>
    </w:r>
    <w:r w:rsidR="001E4A17">
      <w:fldChar w:fldCharType="separate"/>
    </w:r>
    <w:r>
      <w:t>35</w:t>
    </w:r>
    <w:r w:rsidR="001E4A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B5" w:rsidRDefault="00722AB5">
      <w:pPr>
        <w:spacing w:after="0" w:line="240" w:lineRule="auto"/>
      </w:pPr>
      <w:r>
        <w:separator/>
      </w:r>
    </w:p>
  </w:footnote>
  <w:footnote w:type="continuationSeparator" w:id="0">
    <w:p w:rsidR="00722AB5" w:rsidRDefault="0072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rPr>
      <w:t>ITEMS HIGHLIGHTED IN YELLOW ARE NEW</w:t>
    </w:r>
    <w:r>
      <w:rPr>
        <w:b/>
      </w:rPr>
      <w:tab/>
    </w:r>
    <w:r>
      <w:t>Data as of:  5/5/2020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noProof/>
      </w:rPr>
      <mc:AlternateContent>
        <mc:Choice Requires="wps">
          <w:drawing>
            <wp:anchor distT="0" distB="0" distL="114300" distR="114300" simplePos="0" relativeHeight="251658240" behindDoc="0" locked="0" layoutInCell="1" allowOverlap="1">
              <wp:simplePos x="0" y="0"/>
              <wp:positionH relativeFrom="column">
                <wp:posOffset>2679719</wp:posOffset>
              </wp:positionH>
              <wp:positionV relativeFrom="paragraph">
                <wp:posOffset>-311150</wp:posOffset>
              </wp:positionV>
              <wp:extent cx="6728460" cy="300355"/>
              <wp:effectExtent l="7620" t="952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00355"/>
                      </a:xfrm>
                      <a:prstGeom prst="rect">
                        <a:avLst/>
                      </a:prstGeom>
                      <a:solidFill>
                        <a:schemeClr val="accent2">
                          <a:lumMod val="20000"/>
                          <a:lumOff val="80000"/>
                        </a:schemeClr>
                      </a:solidFill>
                      <a:ln w="9525">
                        <a:solidFill>
                          <a:srgbClr val="000000"/>
                        </a:solidFill>
                        <a:miter lim="800000"/>
                        <a:headEnd/>
                        <a:tailEnd/>
                      </a:ln>
                    </wps:spPr>
                    <wps:txbx>
                      <w:txbxContent>
                        <w:p w:rsidR="00722AB5" w:rsidRDefault="00722AB5" w:rsidP="001D08E5">
                          <w:pPr>
                            <w:jc w:val="center"/>
                          </w:pPr>
                          <w:r>
                            <w:t>For CSH Joint Commission Accredited Organizations.  Internal Use ONLY. Not For Further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pt;margin-top:-24.5pt;width:529.8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" fillcolor="#fbe4d5 [661]">
              <v:textbox>
                <w:txbxContent>
                  <w:p w:rsidR="00722AB5" w:rsidRDefault="00722AB5" w:rsidP="001D08E5">
                    <w:pPr>
                      <w:jc w:val="center"/>
                    </w:pPr>
                    <w:r>
                      <w:t>For CSH Joint Commission Accredited Organizations.  Internal Use ONLY. Not For Further Distribution</w:t>
                    </w:r>
                  </w:p>
                </w:txbxContent>
              </v:textbox>
            </v:shape>
          </w:pict>
        </mc:Fallback>
      </mc:AlternateContent>
    </w:r>
    <w:r>
      <w:rPr>
        <w:b/>
      </w:rPr>
      <w:t>ITEMS HIGHLIGHTED IN YELLOW ARE NEW</w:t>
    </w:r>
    <w:r>
      <w:rPr>
        <w:b/>
      </w:rPr>
      <w:tab/>
    </w:r>
    <w:r>
      <w:t>Data as of:  5/5/2020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rPr>
      <w:t>ITEMS HIGHLIGHTED IN YELLOW ARE NEW</w:t>
    </w:r>
    <w:r>
      <w:rPr>
        <w:b/>
      </w:rPr>
      <w:tab/>
    </w:r>
    <w:r>
      <w:t>Data as of:  5/5/2020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rPr>
      <w:t>ITEMS HIGHLIGHTED IN YELLOW ARE NEW</w:t>
    </w:r>
    <w:r>
      <w:rPr>
        <w:b/>
      </w:rPr>
      <w:tab/>
    </w:r>
    <w:r>
      <w:t>Data as of:  5/5/2020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rPr>
      <w:t>ITEMS HIGHLIGHTED IN YELLOW ARE NEW</w:t>
    </w:r>
    <w:r>
      <w:rPr>
        <w:b/>
      </w:rPr>
      <w:tab/>
    </w:r>
    <w:r>
      <w:t>Data as of:  5/5/2020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B5" w:rsidRDefault="00722AB5">
    <w:pPr>
      <w:tabs>
        <w:tab w:val="right" w:pos="17694"/>
      </w:tabs>
      <w:spacing w:after="0"/>
      <w:ind w:left="-412" w:right="-414"/>
    </w:pPr>
    <w:r>
      <w:rPr>
        <w:b/>
      </w:rPr>
      <w:t>ITEMS HIGHLIGHTED IN YELLOW ARE NEW</w:t>
    </w:r>
    <w:r>
      <w:rPr>
        <w:b/>
      </w:rPr>
      <w:tab/>
    </w:r>
    <w:r>
      <w:t>Data as of:  5/5/2020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91008"/>
    <w:multiLevelType w:val="hybridMultilevel"/>
    <w:tmpl w:val="45D0D024"/>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65C049B0"/>
    <w:multiLevelType w:val="hybridMultilevel"/>
    <w:tmpl w:val="62C0B870"/>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4"/>
    <w:rsid w:val="00102B27"/>
    <w:rsid w:val="001D08E5"/>
    <w:rsid w:val="001E4A17"/>
    <w:rsid w:val="00317BE7"/>
    <w:rsid w:val="005B69E2"/>
    <w:rsid w:val="00722AB5"/>
    <w:rsid w:val="008E4C54"/>
    <w:rsid w:val="00C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C287AC-3970-4340-B65D-CDA560A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2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11894</Words>
  <Characters>67798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Accreditation_Full_Program_Requirements_July2020.xlsx</vt:lpstr>
    </vt:vector>
  </TitlesOfParts>
  <Company>CommonSpirit Health</Company>
  <LinksUpToDate>false</LinksUpToDate>
  <CharactersWithSpaces>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TJC Accreditation_Full_Program_Requirements_July2020.xlsx</dc:title>
  <dc:subject/>
  <dc:creator>Campbelr</dc:creator>
  <cp:keywords/>
  <dc:description>For Internal Use ONLY for CSH TJC Accredited Organizations</dc:description>
  <cp:lastModifiedBy>Swisher, Margaret - SF</cp:lastModifiedBy>
  <cp:revision>4</cp:revision>
  <dcterms:created xsi:type="dcterms:W3CDTF">2020-05-11T17:30:00Z</dcterms:created>
  <dcterms:modified xsi:type="dcterms:W3CDTF">2020-05-11T18:26:00Z</dcterms:modified>
</cp:coreProperties>
</file>